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00" w:beforeAutospacing="1" w:after="100" w:afterAutospacing="1" w:line="273" w:lineRule="atLeast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b/>
          <w:i/>
          <w:szCs w:val="24"/>
        </w:rPr>
        <w:t>Объект: Подстанция</w:t>
      </w:r>
    </w:p>
    <w:p>
      <w:pPr>
        <w:tabs>
          <w:tab w:val="left" w:pos="1470"/>
          <w:tab w:val="left" w:pos="2415"/>
        </w:tabs>
        <w:spacing w:before="120" w:after="120"/>
        <w:rPr>
          <w:rFonts w:ascii="ISOCPEUR" w:hAnsi="ISOCPEUR" w:cs="Arial"/>
          <w:b/>
          <w:i/>
          <w:szCs w:val="24"/>
        </w:rPr>
      </w:pPr>
      <w:r>
        <w:rPr>
          <w:rFonts w:ascii="ISOCPEUR" w:hAnsi="ISOCPEUR" w:cs="Arial"/>
          <w:b/>
          <w:i/>
          <w:szCs w:val="24"/>
        </w:rPr>
        <w:t xml:space="preserve">Адрес объекта:  </w:t>
      </w:r>
    </w:p>
    <w:p>
      <w:pPr>
        <w:pStyle w:val="3"/>
        <w:spacing w:before="3480"/>
        <w:ind w:firstLine="0"/>
        <w:jc w:val="center"/>
        <w:rPr>
          <w:rFonts w:ascii="ISOCPEUR" w:hAnsi="ISOCPEUR" w:cs="Arial"/>
          <w:i/>
          <w:caps/>
          <w:szCs w:val="24"/>
        </w:rPr>
      </w:pPr>
      <w:r>
        <w:rPr>
          <w:rFonts w:ascii="ISOCPEUR" w:hAnsi="ISOCPEUR" w:cs="Arial"/>
          <w:i/>
          <w:caps/>
          <w:szCs w:val="24"/>
        </w:rPr>
        <w:t>Пояснительная записка</w:t>
      </w:r>
    </w:p>
    <w:p>
      <w:pPr>
        <w:pStyle w:val="3"/>
        <w:spacing w:before="3480"/>
        <w:ind w:firstLine="0"/>
        <w:jc w:val="center"/>
        <w:rPr>
          <w:rFonts w:ascii="ISOCPEUR" w:hAnsi="ISOCPEUR" w:cs="Arial"/>
          <w:i/>
          <w:caps/>
          <w:szCs w:val="24"/>
        </w:rPr>
        <w:sectPr>
          <w:headerReference r:id="rId5" w:type="default"/>
          <w:pgSz w:w="11906" w:h="16838"/>
          <w:pgMar w:top="899" w:right="567" w:bottom="567" w:left="1418" w:header="284" w:footer="284" w:gutter="0"/>
          <w:cols w:space="708" w:num="1"/>
          <w:docGrid w:linePitch="360" w:charSpace="0"/>
        </w:sectPr>
      </w:pPr>
    </w:p>
    <w:p>
      <w:pPr>
        <w:pStyle w:val="3"/>
        <w:jc w:val="center"/>
        <w:rPr>
          <w:rFonts w:ascii="ISOCPEUR" w:hAnsi="ISOCPEUR" w:cs="Arial"/>
          <w:i/>
          <w:caps/>
          <w:szCs w:val="24"/>
        </w:rPr>
      </w:pPr>
    </w:p>
    <w:p>
      <w:pPr>
        <w:pStyle w:val="3"/>
        <w:jc w:val="center"/>
        <w:rPr>
          <w:rFonts w:ascii="ISOCPEUR" w:hAnsi="ISOCPEUR" w:cs="Arial"/>
          <w:b/>
          <w:i/>
          <w:caps/>
          <w:szCs w:val="24"/>
        </w:rPr>
      </w:pPr>
      <w:r>
        <w:rPr>
          <w:rFonts w:ascii="ISOCPEUR" w:hAnsi="ISOCPEUR" w:cs="Arial"/>
          <w:b/>
          <w:i/>
          <w:caps/>
          <w:szCs w:val="24"/>
        </w:rPr>
        <w:t>Содержание</w:t>
      </w:r>
    </w:p>
    <w:p>
      <w:pPr>
        <w:pStyle w:val="3"/>
        <w:jc w:val="center"/>
        <w:rPr>
          <w:rFonts w:ascii="ISOCPEUR" w:hAnsi="ISOCPEUR" w:cs="Arial"/>
          <w:b/>
          <w:i/>
          <w:caps/>
          <w:szCs w:val="24"/>
        </w:rPr>
      </w:pP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</w:rPr>
        <w:fldChar w:fldCharType="begin"/>
      </w:r>
      <w:r>
        <w:rPr>
          <w:rFonts w:ascii="ISOCPEUR" w:hAnsi="ISOCPEUR" w:cs="Arial"/>
          <w:i/>
          <w:caps/>
        </w:rPr>
        <w:instrText xml:space="preserve"> TOC \o "1-1" \h \z \u </w:instrText>
      </w:r>
      <w:r>
        <w:rPr>
          <w:rFonts w:ascii="ISOCPEUR" w:hAnsi="ISOCPEUR" w:cs="Arial"/>
          <w:i/>
          <w:caps/>
        </w:rPr>
        <w:fldChar w:fldCharType="separate"/>
      </w:r>
      <w:r>
        <w:rPr>
          <w:rFonts w:ascii="ISOCPEUR" w:hAnsi="ISOCPEUR" w:cs="Arial"/>
          <w:i/>
          <w:caps/>
        </w:rPr>
        <w:fldChar w:fldCharType="begin"/>
      </w:r>
      <w:r>
        <w:rPr>
          <w:rFonts w:ascii="ISOCPEUR" w:hAnsi="ISOCPEUR" w:cs="Arial"/>
          <w:i/>
          <w:caps/>
        </w:rPr>
        <w:instrText xml:space="preserve"> HYPERLINK \l _Toc4039 </w:instrText>
      </w:r>
      <w:r>
        <w:rPr>
          <w:rFonts w:ascii="ISOCPEUR" w:hAnsi="ISOCPEUR" w:cs="Arial"/>
          <w:i/>
          <w:caps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1 </w:t>
      </w:r>
      <w:r>
        <w:rPr>
          <w:rFonts w:ascii="ISOCPEUR" w:hAnsi="ISOCPEUR" w:cs="Arial"/>
          <w:i/>
          <w:szCs w:val="24"/>
        </w:rPr>
        <w:t>О</w:t>
      </w:r>
      <w:r>
        <w:rPr>
          <w:rFonts w:ascii="ISOCPEUR" w:hAnsi="ISOCPEUR" w:cs="Arial"/>
          <w:i/>
          <w:szCs w:val="24"/>
          <w:lang w:val="ru-RU"/>
        </w:rPr>
        <w:t>бщие</w:t>
      </w:r>
      <w:r>
        <w:rPr>
          <w:rFonts w:hint="default" w:ascii="ISOCPEUR" w:hAnsi="ISOCPEUR" w:cs="Arial"/>
          <w:i/>
          <w:szCs w:val="24"/>
          <w:lang w:val="ru-RU"/>
        </w:rPr>
        <w:t xml:space="preserve"> положения</w:t>
      </w:r>
      <w:r>
        <w:tab/>
      </w:r>
      <w:r>
        <w:fldChar w:fldCharType="begin"/>
      </w:r>
      <w:r>
        <w:instrText xml:space="preserve"> PAGEREF _Toc4039 \h </w:instrText>
      </w:r>
      <w:r>
        <w:fldChar w:fldCharType="separate"/>
      </w:r>
      <w:r>
        <w:t>3</w:t>
      </w:r>
      <w:r>
        <w:fldChar w:fldCharType="end"/>
      </w:r>
      <w:r>
        <w:rPr>
          <w:rFonts w:ascii="ISOCPEUR" w:hAnsi="ISOCPEUR" w:cs="Arial"/>
          <w:i/>
          <w:caps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_Toc4428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2 </w:t>
      </w:r>
      <w:r>
        <w:rPr>
          <w:rFonts w:ascii="ISOCPEUR" w:hAnsi="ISOCPEUR" w:cs="Arial"/>
          <w:i/>
          <w:szCs w:val="24"/>
        </w:rPr>
        <w:t>Основные технические решения, принятые в проекте</w:t>
      </w:r>
      <w:r>
        <w:tab/>
      </w:r>
      <w:r>
        <w:fldChar w:fldCharType="begin"/>
      </w:r>
      <w:r>
        <w:instrText xml:space="preserve"> PAGEREF _Toc4428 \h </w:instrText>
      </w:r>
      <w:r>
        <w:fldChar w:fldCharType="separate"/>
      </w:r>
      <w:r>
        <w:t>3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_Toc1793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3 </w:t>
      </w:r>
      <w:r>
        <w:rPr>
          <w:rFonts w:ascii="ISOCPEUR" w:hAnsi="ISOCPEUR" w:cs="Arial"/>
          <w:i/>
          <w:szCs w:val="24"/>
          <w:lang w:val="ru-RU"/>
        </w:rPr>
        <w:t>Р</w:t>
      </w:r>
      <w:r>
        <w:rPr>
          <w:rFonts w:ascii="ISOCPEUR" w:hAnsi="ISOCPEUR" w:cs="Arial"/>
          <w:i/>
          <w:szCs w:val="24"/>
        </w:rPr>
        <w:t>абота ПОС</w:t>
      </w:r>
      <w:r>
        <w:tab/>
      </w:r>
      <w:r>
        <w:fldChar w:fldCharType="begin"/>
      </w:r>
      <w:r>
        <w:instrText xml:space="preserve"> PAGEREF _Toc1793 \h </w:instrText>
      </w:r>
      <w:r>
        <w:fldChar w:fldCharType="separate"/>
      </w:r>
      <w:r>
        <w:t>5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_Toc10825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4 </w:t>
      </w:r>
      <w:r>
        <w:rPr>
          <w:rFonts w:ascii="ISOCPEUR" w:hAnsi="ISOCPEUR" w:cs="Arial"/>
          <w:i/>
          <w:szCs w:val="24"/>
          <w:lang w:val="ru-RU"/>
        </w:rPr>
        <w:t>Р</w:t>
      </w:r>
      <w:r>
        <w:rPr>
          <w:rFonts w:ascii="ISOCPEUR" w:hAnsi="ISOCPEUR" w:cs="Arial"/>
          <w:i/>
          <w:szCs w:val="24"/>
        </w:rPr>
        <w:t>абота СОО</w:t>
      </w:r>
      <w:r>
        <w:tab/>
      </w:r>
      <w:r>
        <w:fldChar w:fldCharType="begin"/>
      </w:r>
      <w:r>
        <w:instrText xml:space="preserve"> PAGEREF _Toc10825 \h </w:instrText>
      </w:r>
      <w:r>
        <w:fldChar w:fldCharType="separate"/>
      </w:r>
      <w:r>
        <w:t>5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_Toc6571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5 </w:t>
      </w:r>
      <w:r>
        <w:rPr>
          <w:rFonts w:ascii="ISOCPEUR" w:hAnsi="ISOCPEUR" w:cs="Arial"/>
          <w:i/>
          <w:szCs w:val="24"/>
        </w:rPr>
        <w:t>Р</w:t>
      </w:r>
      <w:r>
        <w:rPr>
          <w:rFonts w:ascii="ISOCPEUR" w:hAnsi="ISOCPEUR" w:cs="Arial"/>
          <w:i/>
          <w:szCs w:val="24"/>
          <w:lang w:val="ru-RU"/>
        </w:rPr>
        <w:t>абота</w:t>
      </w:r>
      <w:r>
        <w:rPr>
          <w:rFonts w:ascii="ISOCPEUR" w:hAnsi="ISOCPEUR" w:cs="Arial"/>
          <w:i/>
          <w:szCs w:val="24"/>
        </w:rPr>
        <w:t xml:space="preserve"> СОТ</w:t>
      </w:r>
      <w:r>
        <w:tab/>
      </w:r>
      <w:r>
        <w:fldChar w:fldCharType="begin"/>
      </w:r>
      <w:r>
        <w:instrText xml:space="preserve"> PAGEREF _Toc6571 \h </w:instrText>
      </w:r>
      <w:r>
        <w:fldChar w:fldCharType="separate"/>
      </w:r>
      <w:r>
        <w:t>5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_Toc19586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6 </w:t>
      </w:r>
      <w:r>
        <w:rPr>
          <w:rFonts w:ascii="ISOCPEUR" w:hAnsi="ISOCPEUR" w:cs="Arial"/>
          <w:i/>
          <w:szCs w:val="24"/>
        </w:rPr>
        <w:t>Технические характеристики оборудования.</w:t>
      </w:r>
      <w:r>
        <w:tab/>
      </w:r>
      <w:r>
        <w:fldChar w:fldCharType="begin"/>
      </w:r>
      <w:r>
        <w:instrText xml:space="preserve"> PAGEREF _Toc19586 \h </w:instrText>
      </w:r>
      <w:r>
        <w:fldChar w:fldCharType="separate"/>
      </w:r>
      <w:r>
        <w:t>7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_Toc19188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7 </w:t>
      </w:r>
      <w:r>
        <w:rPr>
          <w:rFonts w:ascii="ISOCPEUR" w:hAnsi="ISOCPEUR" w:cs="Arial"/>
          <w:i/>
          <w:szCs w:val="24"/>
        </w:rPr>
        <w:t xml:space="preserve">Указания по настройке </w:t>
      </w:r>
      <w:r>
        <w:rPr>
          <w:rFonts w:ascii="ISOCPEUR" w:hAnsi="ISOCPEUR" w:cs="Arial"/>
          <w:i/>
          <w:szCs w:val="24"/>
          <w:lang w:val="ru-RU"/>
        </w:rPr>
        <w:t>СОТ</w:t>
      </w:r>
      <w:r>
        <w:tab/>
      </w:r>
      <w:r>
        <w:fldChar w:fldCharType="begin"/>
      </w:r>
      <w:r>
        <w:instrText xml:space="preserve"> PAGEREF _Toc19188 \h </w:instrText>
      </w:r>
      <w:r>
        <w:fldChar w:fldCharType="separate"/>
      </w:r>
      <w:r>
        <w:t>7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_Toc31977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8 </w:t>
      </w:r>
      <w:r>
        <w:rPr>
          <w:rFonts w:ascii="ISOCPEUR" w:hAnsi="ISOCPEUR" w:cs="Arial"/>
          <w:i/>
          <w:szCs w:val="24"/>
        </w:rPr>
        <w:t>Указания по настройке синхронизации времени.</w:t>
      </w:r>
      <w:r>
        <w:tab/>
      </w:r>
      <w:r>
        <w:fldChar w:fldCharType="begin"/>
      </w:r>
      <w:r>
        <w:instrText xml:space="preserve"> PAGEREF _Toc31977 \h </w:instrText>
      </w:r>
      <w:r>
        <w:fldChar w:fldCharType="separate"/>
      </w:r>
      <w:r>
        <w:t>8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_Toc18584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9 </w:t>
      </w:r>
      <w:r>
        <w:rPr>
          <w:rFonts w:ascii="ISOCPEUR" w:hAnsi="ISOCPEUR" w:cs="Arial"/>
          <w:i/>
          <w:szCs w:val="24"/>
          <w:lang w:val="ru-RU"/>
        </w:rPr>
        <w:t>Меры</w:t>
      </w:r>
      <w:r>
        <w:rPr>
          <w:rFonts w:hint="default" w:ascii="ISOCPEUR" w:hAnsi="ISOCPEUR" w:cs="Arial"/>
          <w:i/>
          <w:szCs w:val="24"/>
          <w:lang w:val="ru-RU"/>
        </w:rPr>
        <w:t xml:space="preserve"> информационной безопасности</w:t>
      </w:r>
      <w:r>
        <w:tab/>
      </w:r>
      <w:r>
        <w:fldChar w:fldCharType="begin"/>
      </w:r>
      <w:r>
        <w:instrText xml:space="preserve"> PAGEREF _Toc18584 \h </w:instrText>
      </w:r>
      <w:r>
        <w:fldChar w:fldCharType="separate"/>
      </w:r>
      <w:r>
        <w:t>8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_Toc17556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10 </w:t>
      </w:r>
      <w:r>
        <w:rPr>
          <w:rFonts w:ascii="ISOCPEUR" w:hAnsi="ISOCPEUR" w:cs="Arial"/>
          <w:i/>
          <w:szCs w:val="24"/>
        </w:rPr>
        <w:t>Указания по монтажу кабелей и коммутационного оборудования.</w:t>
      </w:r>
      <w:r>
        <w:tab/>
      </w:r>
      <w:r>
        <w:fldChar w:fldCharType="begin"/>
      </w:r>
      <w:r>
        <w:instrText xml:space="preserve"> PAGEREF _Toc17556 \h </w:instrText>
      </w:r>
      <w:r>
        <w:fldChar w:fldCharType="separate"/>
      </w:r>
      <w:r>
        <w:t>8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_Toc26742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11 </w:t>
      </w:r>
      <w:r>
        <w:rPr>
          <w:rFonts w:ascii="ISOCPEUR" w:hAnsi="ISOCPEUR" w:cs="Arial"/>
          <w:i/>
          <w:szCs w:val="24"/>
        </w:rPr>
        <w:t>Электропитание и заземление.</w:t>
      </w:r>
      <w:r>
        <w:tab/>
      </w:r>
      <w:r>
        <w:fldChar w:fldCharType="begin"/>
      </w:r>
      <w:r>
        <w:instrText xml:space="preserve"> PAGEREF _Toc26742 \h </w:instrText>
      </w:r>
      <w:r>
        <w:fldChar w:fldCharType="separate"/>
      </w:r>
      <w:r>
        <w:t>10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_Toc22140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12 </w:t>
      </w:r>
      <w:r>
        <w:rPr>
          <w:rFonts w:ascii="ISOCPEUR" w:hAnsi="ISOCPEUR" w:cs="Arial"/>
          <w:i/>
          <w:szCs w:val="24"/>
        </w:rPr>
        <w:t>Требования безопасности труда.</w:t>
      </w:r>
      <w:r>
        <w:tab/>
      </w:r>
      <w:r>
        <w:fldChar w:fldCharType="begin"/>
      </w:r>
      <w:r>
        <w:instrText xml:space="preserve"> PAGEREF _Toc22140 \h </w:instrText>
      </w:r>
      <w:r>
        <w:fldChar w:fldCharType="separate"/>
      </w:r>
      <w:r>
        <w:t>11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_Toc23511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13 </w:t>
      </w:r>
      <w:r>
        <w:rPr>
          <w:rFonts w:ascii="ISOCPEUR" w:hAnsi="ISOCPEUR" w:cs="Arial"/>
          <w:i/>
          <w:szCs w:val="24"/>
        </w:rPr>
        <w:t>Противопожарные мероприятия.</w:t>
      </w:r>
      <w:r>
        <w:tab/>
      </w:r>
      <w:r>
        <w:fldChar w:fldCharType="begin"/>
      </w:r>
      <w:r>
        <w:instrText xml:space="preserve"> PAGEREF _Toc23511 \h </w:instrText>
      </w:r>
      <w:r>
        <w:fldChar w:fldCharType="separate"/>
      </w:r>
      <w:r>
        <w:t>11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22"/>
        <w:tabs>
          <w:tab w:val="right" w:leader="dot" w:pos="9355"/>
          <w:tab w:val="clear" w:pos="440"/>
          <w:tab w:val="clear" w:pos="9356"/>
        </w:tabs>
      </w:pPr>
      <w:r>
        <w:rPr>
          <w:rFonts w:ascii="ISOCPEUR" w:hAnsi="ISOCPEUR" w:cs="Arial"/>
          <w:i/>
          <w:caps/>
          <w:szCs w:val="24"/>
        </w:rPr>
        <w:fldChar w:fldCharType="begin"/>
      </w:r>
      <w:r>
        <w:rPr>
          <w:rFonts w:ascii="ISOCPEUR" w:hAnsi="ISOCPEUR" w:cs="Arial"/>
          <w:i/>
          <w:caps/>
          <w:szCs w:val="24"/>
        </w:rPr>
        <w:instrText xml:space="preserve"> HYPERLINK \l _Toc2100 </w:instrText>
      </w:r>
      <w:r>
        <w:rPr>
          <w:rFonts w:ascii="ISOCPEUR" w:hAnsi="ISOCPEUR" w:cs="Arial"/>
          <w:i/>
          <w:caps/>
          <w:szCs w:val="24"/>
        </w:rPr>
        <w:fldChar w:fldCharType="separate"/>
      </w:r>
      <w:r>
        <w:rPr>
          <w:rFonts w:ascii="ISOCPEUR" w:hAnsi="ISOCPEUR" w:cs="Times New Roman"/>
          <w:i/>
          <w:szCs w:val="24"/>
        </w:rPr>
        <w:t xml:space="preserve">14 </w:t>
      </w:r>
      <w:r>
        <w:rPr>
          <w:rFonts w:ascii="ISOCPEUR" w:hAnsi="ISOCPEUR" w:cs="Arial"/>
          <w:i/>
          <w:szCs w:val="24"/>
        </w:rPr>
        <w:t>Мероприятия по охране окружающей среды.</w:t>
      </w:r>
      <w:r>
        <w:tab/>
      </w:r>
      <w:r>
        <w:fldChar w:fldCharType="begin"/>
      </w:r>
      <w:r>
        <w:instrText xml:space="preserve"> PAGEREF _Toc2100 \h </w:instrText>
      </w:r>
      <w:r>
        <w:fldChar w:fldCharType="separate"/>
      </w:r>
      <w:r>
        <w:t>11</w:t>
      </w:r>
      <w:r>
        <w:fldChar w:fldCharType="end"/>
      </w: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3"/>
        <w:rPr>
          <w:rFonts w:ascii="ISOCPEUR" w:hAnsi="ISOCPEUR" w:cs="Arial"/>
          <w:i/>
          <w:caps/>
          <w:szCs w:val="24"/>
        </w:rPr>
      </w:pP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spacing w:after="160" w:line="259" w:lineRule="auto"/>
        <w:jc w:val="left"/>
        <w:rPr>
          <w:rFonts w:ascii="ISOCPEUR" w:hAnsi="ISOCPEUR" w:cs="Arial"/>
          <w:i/>
          <w:caps/>
          <w:szCs w:val="24"/>
        </w:rPr>
      </w:pPr>
      <w:r>
        <w:rPr>
          <w:rFonts w:ascii="ISOCPEUR" w:hAnsi="ISOCPEUR" w:cs="Arial"/>
          <w:i/>
          <w:caps/>
          <w:szCs w:val="24"/>
        </w:rPr>
        <w:br w:type="page"/>
      </w:r>
    </w:p>
    <w:p>
      <w:pPr>
        <w:pStyle w:val="2"/>
        <w:rPr>
          <w:rFonts w:ascii="ISOCPEUR" w:hAnsi="ISOCPEUR" w:cs="Arial"/>
          <w:i/>
          <w:sz w:val="24"/>
          <w:szCs w:val="24"/>
        </w:rPr>
      </w:pPr>
      <w:bookmarkStart w:id="0" w:name="_Toc4039"/>
      <w:r>
        <w:rPr>
          <w:rFonts w:ascii="ISOCPEUR" w:hAnsi="ISOCPEUR" w:cs="Arial"/>
          <w:i/>
          <w:sz w:val="24"/>
          <w:szCs w:val="24"/>
        </w:rPr>
        <w:t>О</w:t>
      </w:r>
      <w:r>
        <w:rPr>
          <w:rFonts w:ascii="ISOCPEUR" w:hAnsi="ISOCPEUR" w:cs="Arial"/>
          <w:i/>
          <w:sz w:val="24"/>
          <w:szCs w:val="24"/>
          <w:lang w:val="ru-RU"/>
        </w:rPr>
        <w:t>бщие</w:t>
      </w:r>
      <w:r>
        <w:rPr>
          <w:rFonts w:hint="default" w:ascii="ISOCPEUR" w:hAnsi="ISOCPEUR" w:cs="Arial"/>
          <w:i/>
          <w:sz w:val="24"/>
          <w:szCs w:val="24"/>
          <w:lang w:val="ru-RU"/>
        </w:rPr>
        <w:t xml:space="preserve"> положения</w:t>
      </w:r>
      <w:bookmarkEnd w:id="0"/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Настоящая проектная документация комплексной системы безопасности (далее КСБ) разработана для объекта «Подстанция» на базе: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Исходных данных Заказчика;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Типовых технических решений по защите объектов ОАО «ФСК ЕЭС»,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Результатов обследования объекта;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Материалов изысканий и согласований, проведенных в рабочем порядке;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Технической документации производителей оборудования;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Проектом учтены требования по функциональным связям, антивандальному исполнению, удобству эксплуатации оборудования и проведения профилактических ремонтов, соблюдение требований техники безопасности, пожарной безопасности.</w:t>
      </w:r>
    </w:p>
    <w:p>
      <w:pPr>
        <w:pStyle w:val="2"/>
        <w:rPr>
          <w:rFonts w:ascii="ISOCPEUR" w:hAnsi="ISOCPEUR" w:cs="Arial"/>
          <w:i/>
          <w:sz w:val="24"/>
          <w:szCs w:val="24"/>
        </w:rPr>
      </w:pPr>
      <w:bookmarkStart w:id="1" w:name="_Toc4428"/>
      <w:r>
        <w:rPr>
          <w:rFonts w:ascii="ISOCPEUR" w:hAnsi="ISOCPEUR" w:cs="Arial"/>
          <w:i/>
          <w:sz w:val="24"/>
          <w:szCs w:val="24"/>
        </w:rPr>
        <w:t>Основные технические решения, принятые в проекте</w:t>
      </w:r>
      <w:bookmarkEnd w:id="1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Комплексная система безопасности строится на базе ПО «Бастион-2» с использованием: периметральной охранной системы (далее — ПОС) «Пунктир-С», системы охранного освещения (далее -СОО) «Заря», ПО видеонаблюдения «Интеллект» и </w:t>
      </w:r>
      <w:r>
        <w:rPr>
          <w:rFonts w:ascii="ISOCPEUR" w:hAnsi="ISOCPEUR" w:cs="Arial"/>
          <w:i/>
          <w:szCs w:val="24"/>
          <w:lang w:val="en-US"/>
        </w:rPr>
        <w:t>IP</w:t>
      </w:r>
      <w:r>
        <w:rPr>
          <w:rFonts w:ascii="ISOCPEUR" w:hAnsi="ISOCPEUR" w:cs="Arial"/>
          <w:i/>
          <w:szCs w:val="24"/>
        </w:rPr>
        <w:t xml:space="preserve">-камер </w:t>
      </w:r>
      <w:r>
        <w:rPr>
          <w:rFonts w:ascii="ISOCPEUR" w:hAnsi="ISOCPEUR" w:cs="Arial"/>
          <w:i/>
          <w:szCs w:val="24"/>
          <w:lang w:val="en-US"/>
        </w:rPr>
        <w:t>Axis</w:t>
      </w:r>
      <w:r>
        <w:rPr>
          <w:rFonts w:ascii="ISOCPEUR" w:hAnsi="ISOCPEUR" w:cs="Arial"/>
          <w:i/>
          <w:szCs w:val="24"/>
        </w:rPr>
        <w:t xml:space="preserve"> (далее — СОТ).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ПОС "Пунктир-С" –система защиты периметра с точным обнаружением места вторжения, построенная на основе адресных вибрационных датчиков. Благодаря специализированным алгоритмам обработки сигналов (метод "дифференциальной логики"), "Пунктир-С" устойчива к ложным срабатываниям, возникающим из-за климатических помеховых факторов. Датчики устанавливаются на элементах ограждения и реагируют на вибрацию, которая возникает при попытках преодоления. Полученные сигналы в цифровом виде передаются по информационной магистрали в линейный контроллер "ЛК-С" и далее на центральный процессор "ЦП-С", который анализирует информацию от каждого датчика с применением специальных математических алгоритмов и в результате формирует тревожное извещение. Помимо "ДД-С", в информационную магистраль включены адресные модули входов "МВ-С". Их основная задача состоит в обеспечении подключения к системе сторонних датчиков. Один центральный процессор "ЦП-С" поддерживает до 2-х линейных контроллеров "ЛК-С", каждый из которых, в свою очередь, контролирует до 500 датчиков "ДД-С" (или модулей входов "МВ-С"). При этом длина линии связи датчиков может составлять 1500 м. В данном проекте адресные модули предназначены для подключения дачиков открытия дверей шкафов с оборудованием КСБ, расположенных вне помещения ОПУ. Модули "КЗ-С" позволяют изолировать участок магистрали в случае возникновения на нем короткого замыкания и сохранить работоспособность всей остальной линии. Линейные контроллеры системы соединяются с центральным посредством последовательных интерфейсов RS232, а центральные контроллеры системы "Пунктир-С" подключаются к серверу КСБ "Бастион-2" по интерфейсу Ethernet. </w:t>
      </w:r>
      <w:r>
        <w:rPr>
          <w:rFonts w:hint="default" w:ascii="ISOCPEUR" w:hAnsi="ISOCPEUR" w:cs="Arial"/>
          <w:i/>
          <w:szCs w:val="24"/>
          <w:lang w:val="ru-RU"/>
        </w:rPr>
        <w:t>ПО</w:t>
      </w:r>
      <w:r>
        <w:rPr>
          <w:rFonts w:ascii="ISOCPEUR" w:hAnsi="ISOCPEUR" w:cs="Arial"/>
          <w:i/>
          <w:szCs w:val="24"/>
        </w:rPr>
        <w:t xml:space="preserve"> "Бастион-2" обеспечивает отображение состояния системы периметральной охранной сигнализации на векторном плане объекта и позволяет определить место вторжения на периметр с точностью до секции ограждения. Проектом предусматривается подключение системы защиты периметра "Пунктир-С" по кольцевой схеме, что позволяет повысить устойчивость системы к обрывам линии связи. Для защиты входных групп (ворот) проектом предусматривается подключение к системе "Пунктир-С" ИК извещатели "штора" </w:t>
      </w:r>
      <w:r>
        <w:rPr>
          <w:rFonts w:ascii="ISOCPEUR" w:hAnsi="ISOCPEUR" w:cs="Arial"/>
          <w:i/>
          <w:snapToGrid w:val="0"/>
          <w:sz w:val="24"/>
          <w:szCs w:val="24"/>
          <w:lang w:val="en-US"/>
        </w:rPr>
        <w:t>SL-200QDM</w:t>
      </w:r>
      <w:r>
        <w:rPr>
          <w:rFonts w:ascii="ISOCPEUR" w:hAnsi="ISOCPEUR" w:cs="Arial"/>
          <w:i/>
          <w:szCs w:val="24"/>
        </w:rPr>
        <w:t>, подключение осуществляется с помощью модулей "Пунктир-МВ-С".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Управляемая система охранного освещения «Заря» состоит из уличных многорежимных светодиодных светильников, объединенных двухпроводной линией связи, аппаратных и программных модулей контроля и управления. В светильнике предусмотрена отдельная настройка мощности излучения для дежурного и тревожного режима в диапазоне от 0 до 100 % от максимальной мощности. Управление режимами работы освещения происходит по двухпроводной линии связи. Основная задача дежурного освещения - обеспечить равномерное освещение охраняемой зоны с минимальным энергопотреблением. Освещение участка вторжения обеспечивается включением светильников группы в режим максимальной светоотдачи.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Система охранного видеонаблюдения на базе ПО «Интеллект» предназначена для круглосуточной, непрерывной работы и обеспечения контроля мест нахождения сотрудников и посетителей в помещении ОПП, мест возможного несанкционированного подхода посторонних лиц на территории, прилегающей к ограждению (на удалении до 5 метров от периметра).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  <w:lang w:val="ru-RU"/>
        </w:rPr>
        <w:t>Обнаружения</w:t>
      </w:r>
      <w:r>
        <w:rPr>
          <w:rFonts w:hint="default" w:ascii="ISOCPEUR" w:hAnsi="ISOCPEUR" w:cs="Arial"/>
          <w:i/>
          <w:szCs w:val="24"/>
          <w:lang w:val="ru-RU"/>
        </w:rPr>
        <w:t xml:space="preserve"> объекта типа «человек» на прилегающей к периметру территории производится нейросетевой видеоаналитикой, работающей в составе ПО «Интеллект» на базе </w:t>
      </w:r>
      <w:r>
        <w:rPr>
          <w:rFonts w:hint="default" w:ascii="ISOCPEUR" w:hAnsi="ISOCPEUR" w:cs="Arial"/>
          <w:i/>
          <w:szCs w:val="24"/>
          <w:lang w:val="en-US"/>
        </w:rPr>
        <w:t>GPU;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2" w:name="_Toc1793"/>
      <w:bookmarkStart w:id="3" w:name="OLE_LINK9"/>
      <w:bookmarkStart w:id="4" w:name="OLE_LINK8"/>
      <w:r>
        <w:rPr>
          <w:rFonts w:ascii="ISOCPEUR" w:hAnsi="ISOCPEUR" w:cs="Arial"/>
          <w:i/>
          <w:sz w:val="24"/>
          <w:szCs w:val="24"/>
          <w:lang w:val="ru-RU"/>
        </w:rPr>
        <w:t>Р</w:t>
      </w:r>
      <w:r>
        <w:rPr>
          <w:rFonts w:ascii="ISOCPEUR" w:hAnsi="ISOCPEUR" w:cs="Arial"/>
          <w:i/>
          <w:sz w:val="24"/>
          <w:szCs w:val="24"/>
        </w:rPr>
        <w:t>абота ПОС</w:t>
      </w:r>
      <w:bookmarkEnd w:id="2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 w:cs="Arial"/>
          <w:i/>
          <w:szCs w:val="24"/>
        </w:rPr>
        <w:t>Периметральная охранная система обеспечивает: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подачу извещений о появлении вибрации элементов ограждения, которая возникает при попытках преодоления;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- подачу извещений об открытии дверей периметральных шкафов видеонаблюдения и оборудования ПОС; 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подачу извещений о пересечении зон контроля ИК-извещателями.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5" w:name="_Toc10825"/>
      <w:r>
        <w:rPr>
          <w:rFonts w:ascii="ISOCPEUR" w:hAnsi="ISOCPEUR" w:cs="Arial"/>
          <w:i/>
          <w:sz w:val="24"/>
          <w:szCs w:val="24"/>
          <w:lang w:val="ru-RU"/>
        </w:rPr>
        <w:t>Р</w:t>
      </w:r>
      <w:r>
        <w:rPr>
          <w:rFonts w:ascii="ISOCPEUR" w:hAnsi="ISOCPEUR" w:cs="Arial"/>
          <w:i/>
          <w:sz w:val="24"/>
          <w:szCs w:val="24"/>
        </w:rPr>
        <w:t>абота СОО</w:t>
      </w:r>
      <w:bookmarkEnd w:id="5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Система охранного освещения обеспечивает: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- </w:t>
      </w:r>
      <w:r>
        <w:rPr>
          <w:i/>
        </w:rPr>
        <w:t xml:space="preserve">в </w:t>
      </w:r>
      <w:r>
        <w:rPr>
          <w:rFonts w:ascii="ISOCPEUR" w:hAnsi="ISOCPEUR" w:cs="Arial"/>
          <w:i/>
          <w:szCs w:val="24"/>
        </w:rPr>
        <w:t>дежурном режиме при 10% мощности уровень освещенности 0,5лк при ширине полосы 3м;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-·в тревожном режиме при 100% мощности уровень освещенности 10лк при ширине полосы 3м;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при переходе в тревожный режим происходит подсветка места проникновения группой светильников, состоящей из 2-3 шт. По требованию заказчика количество светильников, переходящих в тревожный режим, может быть произвольным.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6" w:name="_Toc6571"/>
      <w:r>
        <w:rPr>
          <w:rFonts w:ascii="ISOCPEUR" w:hAnsi="ISOCPEUR" w:cs="Arial"/>
          <w:i/>
          <w:sz w:val="24"/>
          <w:szCs w:val="24"/>
        </w:rPr>
        <w:t>Р</w:t>
      </w:r>
      <w:r>
        <w:rPr>
          <w:rFonts w:ascii="ISOCPEUR" w:hAnsi="ISOCPEUR" w:cs="Arial"/>
          <w:i/>
          <w:sz w:val="24"/>
          <w:szCs w:val="24"/>
          <w:lang w:val="ru-RU"/>
        </w:rPr>
        <w:t>абота</w:t>
      </w:r>
      <w:r>
        <w:rPr>
          <w:rFonts w:ascii="ISOCPEUR" w:hAnsi="ISOCPEUR" w:cs="Arial"/>
          <w:i/>
          <w:sz w:val="24"/>
          <w:szCs w:val="24"/>
        </w:rPr>
        <w:t xml:space="preserve"> СОТ</w:t>
      </w:r>
      <w:bookmarkEnd w:id="6"/>
    </w:p>
    <w:bookmarkEnd w:id="3"/>
    <w:bookmarkEnd w:id="4"/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 w:cs="Arial"/>
          <w:i/>
          <w:szCs w:val="24"/>
        </w:rPr>
        <w:t>Система</w:t>
      </w:r>
      <w:r>
        <w:rPr>
          <w:rFonts w:ascii="ISOCPEUR" w:hAnsi="ISOCPEUR"/>
          <w:i/>
        </w:rPr>
        <w:t xml:space="preserve"> охранная телевизионная обеспечивает: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запись видеоинформации в цифровом виде по срабатыванию программного детектора движения;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запись видеоинформации в цифровом виде по тревоге ПОС;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видеонаблюдение пользователем системы с УРММ посредством просмотра видеоинформации с одной или нескольких видеокамер как в полноэкранном, так и в полиэкранном режимах отображения, с обеспечением возможности масштабирования видеоизображения;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автоматическое обнаружение людей на изображении камер, расположенных вдоль периметра;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автоматический ввод в работу резервного видеосервера при отключении одного из основных видеосерверов;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доступ к видеоархиву, поиск и воспроизведение архивированной видеоинформации на рабочем месте пользователя;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поиск и воспроизведение архивированной видеоинформации по следующим критериям:</w:t>
      </w:r>
    </w:p>
    <w:p>
      <w:pPr>
        <w:pStyle w:val="3"/>
        <w:ind w:firstLine="708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вход человека в зону;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выход человека из зоны;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появление человека в зоне;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исчезновение человека из зоны;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переход человека из одной зоны в другую;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остановка человека в зоне;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пребывание человека в зоне более 10 секунд;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оставленный в зоне предмет;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возможность блокировки выбранных видеозаписей от автоматической перезаписи при заполнении жестких дисков;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запись видеоинформации и отдельных кадров (стоп-кадров) на внешние носители;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печать отдельных кадров (стоп-кадров) на устройстве вывода на печать;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- диагностирование работоспособности видеосервера с отображением соответствующей информации на УРММ, 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автоматическое информирование пользователей видеонаблюдения о выходе из строя компонентов видеосервера;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разграничение доступа пользователей системы видеонаблюдения к видеоинформации;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гибкое управление учетными записями пользователей;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- возможность поиска архивированной видеоинформации по дате и времени, номеру видеокамеры, </w:t>
      </w:r>
    </w:p>
    <w:p>
      <w:pPr>
        <w:pStyle w:val="3"/>
        <w:ind w:firstLine="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- автоматическую синхронизацию внутренних часов системы с внешними источниками точного времени.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Объем дискового пространства обеспечивает хранение видеоинформации в течение не менее 30 суток записи со всех камер в режиме непрерывной записи. По заполнении внутреннего накопителя текущая видеоинформация перезаписывается на старую «по кольцу».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Задача определения типа объекта реализована применением нейросетевой аналитики (т.н. нейрофильтра), работающего на выделенных </w:t>
      </w:r>
      <w:r>
        <w:rPr>
          <w:rFonts w:hint="default" w:ascii="ISOCPEUR" w:hAnsi="ISOCPEUR" w:cs="Arial"/>
          <w:i/>
          <w:szCs w:val="24"/>
          <w:lang w:val="en-US"/>
        </w:rPr>
        <w:t>GPU</w:t>
      </w:r>
      <w:r>
        <w:rPr>
          <w:rFonts w:ascii="ISOCPEUR" w:hAnsi="ISOCPEUR" w:cs="Arial"/>
          <w:i/>
          <w:szCs w:val="24"/>
        </w:rPr>
        <w:t>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Используемое программное обеспечение содержит модуль резервирования, который обеспечивают автоматическое переключение камер с отключенного видеосервера на резервный видеосервер</w:t>
      </w:r>
      <w:r>
        <w:rPr>
          <w:rFonts w:hint="default" w:ascii="ISOCPEUR" w:hAnsi="ISOCPEUR" w:cs="Arial"/>
          <w:i/>
          <w:szCs w:val="24"/>
          <w:lang w:val="ru-RU"/>
        </w:rPr>
        <w:t xml:space="preserve"> с последующим продолжением работы видеоаналитки ;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Производительность резервного видеосервера рассчитана на работу 24 </w:t>
      </w:r>
      <w:r>
        <w:rPr>
          <w:rFonts w:ascii="ISOCPEUR" w:hAnsi="ISOCPEUR" w:cs="Arial"/>
          <w:i/>
          <w:szCs w:val="24"/>
          <w:lang w:val="en-US"/>
        </w:rPr>
        <w:t>IP</w:t>
      </w:r>
      <w:r>
        <w:rPr>
          <w:rFonts w:ascii="ISOCPEUR" w:hAnsi="ISOCPEUR" w:cs="Arial"/>
          <w:i/>
          <w:szCs w:val="24"/>
        </w:rPr>
        <w:t>-камер и 22 программных модулей распознавания человека.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 системе используются IP-видеокамеры с вариофокальными объективами, позволяющими точно установить требуемый угол зрения.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  <w:lang w:val="ru-RU"/>
        </w:rPr>
        <w:t>В</w:t>
      </w:r>
      <w:r>
        <w:rPr>
          <w:rFonts w:hint="default" w:ascii="ISOCPEUR" w:hAnsi="ISOCPEUR" w:cs="Arial"/>
          <w:i/>
          <w:szCs w:val="24"/>
          <w:lang w:val="ru-RU"/>
        </w:rPr>
        <w:t xml:space="preserve"> системе предусмотрено подключение к установленной на объекте системе СКУД/ОПС на базе ПО «Бастион-2» для работы всех систем в составе единого комплекса безопасности.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hint="default" w:ascii="ISOCPEUR" w:hAnsi="ISOCPEUR" w:cs="Arial"/>
          <w:i/>
          <w:szCs w:val="24"/>
          <w:lang w:val="ru-RU"/>
        </w:rPr>
        <w:t>В системе предусмотрено подключение к корпоративной сети предприятия.</w:t>
      </w:r>
      <w:bookmarkStart w:id="18" w:name="_GoBack"/>
      <w:bookmarkEnd w:id="18"/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7" w:name="_Toc19586"/>
      <w:r>
        <w:rPr>
          <w:rFonts w:ascii="ISOCPEUR" w:hAnsi="ISOCPEUR" w:cs="Arial"/>
          <w:i/>
          <w:sz w:val="24"/>
          <w:szCs w:val="24"/>
        </w:rPr>
        <w:t>Технические характеристики оборудования.</w:t>
      </w:r>
      <w:bookmarkEnd w:id="7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i/>
        </w:rPr>
      </w:pPr>
      <w:r>
        <w:rPr>
          <w:rFonts w:ascii="ISOCPEUR" w:hAnsi="ISOCPEUR"/>
          <w:i/>
          <w:szCs w:val="24"/>
        </w:rPr>
        <w:t>Технические характеристики оборудования указаны в спецификации системы</w:t>
      </w:r>
      <w:r>
        <w:rPr>
          <w:i/>
        </w:rPr>
        <w:t xml:space="preserve"> </w:t>
      </w:r>
      <w:r>
        <w:rPr>
          <w:rFonts w:ascii="ISOCPEUR" w:hAnsi="ISOCPEUR" w:cs="Arial"/>
          <w:i/>
          <w:szCs w:val="24"/>
        </w:rPr>
        <w:t>видеонаблюдения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8" w:name="_Toc19188"/>
      <w:r>
        <w:rPr>
          <w:rFonts w:ascii="ISOCPEUR" w:hAnsi="ISOCPEUR" w:cs="Arial"/>
          <w:i/>
          <w:sz w:val="24"/>
          <w:szCs w:val="24"/>
        </w:rPr>
        <w:t xml:space="preserve">Указания по настройке </w:t>
      </w:r>
      <w:r>
        <w:rPr>
          <w:rFonts w:ascii="ISOCPEUR" w:hAnsi="ISOCPEUR" w:cs="Arial"/>
          <w:i/>
          <w:sz w:val="24"/>
          <w:szCs w:val="24"/>
          <w:lang w:val="ru-RU"/>
        </w:rPr>
        <w:t>СОТ</w:t>
      </w:r>
      <w:bookmarkEnd w:id="8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Камеры должны быть установлена согласно рабочим чертежам согласно указанной высоты.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После установки должна быть произведена ориентация камер в направлении, согласно схемам установки видеокамер.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На всех камерах должны быть настроены два потока передачи данных. Разрешение потоков – согласно нижеследующей таблице. Оба потока должны работать в формате сжатия h.264 со скоростью передачи видео 25 к/с. 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4"/>
        <w:gridCol w:w="1755"/>
        <w:gridCol w:w="4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</w:tcPr>
          <w:p>
            <w:pPr>
              <w:jc w:val="center"/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Камера</w:t>
            </w:r>
          </w:p>
        </w:tc>
        <w:tc>
          <w:tcPr>
            <w:tcW w:w="6225" w:type="dxa"/>
            <w:gridSpan w:val="2"/>
          </w:tcPr>
          <w:p>
            <w:pPr>
              <w:jc w:val="center"/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Разрешение видеопотоков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</w:tcPr>
          <w:p>
            <w:pPr>
              <w:rPr>
                <w:rFonts w:ascii="ISOCPEUR" w:hAnsi="ISOCPEUR"/>
                <w:i/>
                <w:szCs w:val="24"/>
              </w:rPr>
            </w:pPr>
          </w:p>
        </w:tc>
        <w:tc>
          <w:tcPr>
            <w:tcW w:w="1755" w:type="dxa"/>
          </w:tcPr>
          <w:p>
            <w:pPr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Основной</w:t>
            </w:r>
          </w:p>
        </w:tc>
        <w:tc>
          <w:tcPr>
            <w:tcW w:w="4470" w:type="dxa"/>
          </w:tcPr>
          <w:p>
            <w:pPr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Дополнительный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</w:tcPr>
          <w:p>
            <w:pPr>
              <w:rPr>
                <w:rFonts w:hint="default" w:ascii="ISOCPEUR" w:hAnsi="ISOCPEUR"/>
                <w:i/>
                <w:szCs w:val="24"/>
                <w:lang w:val="en-US"/>
              </w:rPr>
            </w:pPr>
            <w:r>
              <w:rPr>
                <w:rFonts w:ascii="ISOCPEUR" w:hAnsi="ISOCPEUR"/>
                <w:i/>
                <w:szCs w:val="24"/>
              </w:rPr>
              <w:t>AS</w:t>
            </w:r>
            <w:r>
              <w:rPr>
                <w:rFonts w:hint="default" w:ascii="ISOCPEUR" w:hAnsi="ISOCPEUR"/>
                <w:i/>
                <w:szCs w:val="24"/>
                <w:lang w:val="ru-RU"/>
              </w:rPr>
              <w:t>1</w:t>
            </w:r>
            <w:r>
              <w:rPr>
                <w:rFonts w:ascii="ISOCPEUR" w:hAnsi="ISOCPEUR"/>
                <w:i/>
                <w:szCs w:val="24"/>
              </w:rPr>
              <w:t>.1</w:t>
            </w:r>
            <w:r>
              <w:rPr>
                <w:rFonts w:hint="default" w:ascii="ISOCPEUR" w:hAnsi="ISOCPEUR"/>
                <w:i/>
                <w:szCs w:val="24"/>
                <w:lang w:val="ru-RU"/>
              </w:rPr>
              <w:t xml:space="preserve"> - </w:t>
            </w:r>
            <w:r>
              <w:rPr>
                <w:rFonts w:hint="default" w:ascii="ISOCPEUR" w:hAnsi="ISOCPEUR"/>
                <w:i/>
                <w:szCs w:val="24"/>
                <w:lang w:val="en-US"/>
              </w:rPr>
              <w:t>AS 1.43</w:t>
            </w:r>
          </w:p>
        </w:tc>
        <w:tc>
          <w:tcPr>
            <w:tcW w:w="1755" w:type="dxa"/>
            <w:vAlign w:val="top"/>
          </w:tcPr>
          <w:p>
            <w:pPr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1920x1080</w:t>
            </w:r>
          </w:p>
        </w:tc>
        <w:tc>
          <w:tcPr>
            <w:tcW w:w="4470" w:type="dxa"/>
          </w:tcPr>
          <w:p>
            <w:pPr>
              <w:rPr>
                <w:rFonts w:hint="default" w:ascii="ISOCPEUR" w:hAnsi="ISOCPEUR"/>
                <w:i/>
                <w:szCs w:val="24"/>
                <w:lang w:val="ru-RU"/>
              </w:rPr>
            </w:pPr>
            <w:r>
              <w:rPr>
                <w:rFonts w:hint="default" w:ascii="ISOCPEUR" w:hAnsi="ISOCPEUR" w:cs="Arial"/>
                <w:i/>
                <w:szCs w:val="24"/>
                <w:lang w:val="en-US"/>
              </w:rPr>
              <w:t>800x</w:t>
            </w:r>
            <w:r>
              <w:rPr>
                <w:rFonts w:hint="default" w:ascii="ISOCPEUR" w:hAnsi="ISOCPEUR" w:cs="Arial"/>
                <w:i/>
                <w:szCs w:val="24"/>
                <w:lang w:val="ru-RU"/>
              </w:rPr>
              <w:t>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74" w:type="dxa"/>
          </w:tcPr>
          <w:p>
            <w:pPr>
              <w:rPr>
                <w:rFonts w:hint="default" w:ascii="ISOCPEUR" w:hAnsi="ISOCPEUR"/>
                <w:i/>
                <w:szCs w:val="24"/>
                <w:lang w:val="en-US"/>
              </w:rPr>
            </w:pPr>
            <w:r>
              <w:rPr>
                <w:rFonts w:ascii="ISOCPEUR" w:hAnsi="ISOCPEUR"/>
                <w:i/>
                <w:szCs w:val="24"/>
              </w:rPr>
              <w:t>AS</w:t>
            </w:r>
            <w:r>
              <w:rPr>
                <w:rFonts w:hint="default" w:ascii="ISOCPEUR" w:hAnsi="ISOCPEUR"/>
                <w:i/>
                <w:szCs w:val="24"/>
                <w:lang w:val="en-US"/>
              </w:rPr>
              <w:t>2</w:t>
            </w:r>
            <w:r>
              <w:rPr>
                <w:rFonts w:ascii="ISOCPEUR" w:hAnsi="ISOCPEUR"/>
                <w:i/>
                <w:szCs w:val="24"/>
              </w:rPr>
              <w:t>.</w:t>
            </w:r>
            <w:r>
              <w:rPr>
                <w:rFonts w:hint="default" w:ascii="ISOCPEUR" w:hAnsi="ISOCPEUR"/>
                <w:i/>
                <w:szCs w:val="24"/>
                <w:lang w:val="en-US"/>
              </w:rPr>
              <w:t xml:space="preserve">1 - </w:t>
            </w:r>
            <w:r>
              <w:rPr>
                <w:rFonts w:ascii="ISOCPEUR" w:hAnsi="ISOCPEUR"/>
                <w:i/>
                <w:szCs w:val="24"/>
              </w:rPr>
              <w:t>AS</w:t>
            </w:r>
            <w:r>
              <w:rPr>
                <w:rFonts w:hint="default" w:ascii="ISOCPEUR" w:hAnsi="ISOCPEUR"/>
                <w:i/>
                <w:szCs w:val="24"/>
                <w:lang w:val="en-US"/>
              </w:rPr>
              <w:t>2</w:t>
            </w:r>
            <w:r>
              <w:rPr>
                <w:rFonts w:ascii="ISOCPEUR" w:hAnsi="ISOCPEUR"/>
                <w:i/>
                <w:szCs w:val="24"/>
              </w:rPr>
              <w:t>.</w:t>
            </w:r>
            <w:r>
              <w:rPr>
                <w:rFonts w:hint="default" w:ascii="ISOCPEUR" w:hAnsi="ISOCPEUR"/>
                <w:i/>
                <w:szCs w:val="24"/>
                <w:lang w:val="en-US"/>
              </w:rPr>
              <w:t>5</w:t>
            </w:r>
          </w:p>
        </w:tc>
        <w:tc>
          <w:tcPr>
            <w:tcW w:w="1755" w:type="dxa"/>
          </w:tcPr>
          <w:p>
            <w:pPr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/>
                <w:i/>
                <w:szCs w:val="24"/>
              </w:rPr>
              <w:t>1920x1080</w:t>
            </w:r>
          </w:p>
        </w:tc>
        <w:tc>
          <w:tcPr>
            <w:tcW w:w="4470" w:type="dxa"/>
          </w:tcPr>
          <w:p>
            <w:pPr>
              <w:rPr>
                <w:rFonts w:ascii="ISOCPEUR" w:hAnsi="ISOCPEUR"/>
                <w:i/>
                <w:szCs w:val="24"/>
              </w:rPr>
            </w:pPr>
            <w:r>
              <w:rPr>
                <w:rFonts w:ascii="ISOCPEUR" w:hAnsi="ISOCPEUR" w:cs="Arial"/>
                <w:i/>
                <w:szCs w:val="24"/>
              </w:rPr>
              <w:t>640</w:t>
            </w:r>
            <w:r>
              <w:rPr>
                <w:rFonts w:ascii="ISOCPEUR" w:hAnsi="ISOCPEUR" w:cs="Arial"/>
                <w:i/>
                <w:szCs w:val="24"/>
                <w:lang w:val="en-US"/>
              </w:rPr>
              <w:t>x480</w:t>
            </w:r>
          </w:p>
        </w:tc>
      </w:tr>
    </w:tbl>
    <w:p>
      <w:pPr>
        <w:rPr>
          <w:i/>
        </w:rPr>
      </w:pP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  <w:szCs w:val="24"/>
        </w:rPr>
      </w:pPr>
      <w:r>
        <w:rPr>
          <w:rFonts w:ascii="ISOCPEUR" w:hAnsi="ISOCPEUR"/>
          <w:i/>
          <w:szCs w:val="24"/>
        </w:rPr>
        <w:t xml:space="preserve">Указанные в таблице требуемые разрешения обеспечивают минимально требуемую для задач видеонаблюдения плотность пикселов, не вызывая при этом сокращения требуемой длительности хранения видеозаписей (30 календарных суток с момента совершения записи). 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/>
          <w:i/>
          <w:szCs w:val="24"/>
        </w:rPr>
        <w:t xml:space="preserve">Синхронизация времени </w:t>
      </w:r>
      <w:r>
        <w:rPr>
          <w:rFonts w:ascii="ISOCPEUR" w:hAnsi="ISOCPEUR"/>
          <w:i/>
          <w:szCs w:val="24"/>
          <w:lang w:val="ru-RU"/>
        </w:rPr>
        <w:t>устройств</w:t>
      </w:r>
      <w:r>
        <w:rPr>
          <w:rFonts w:hint="default" w:ascii="ISOCPEUR" w:hAnsi="ISOCPEUR"/>
          <w:i/>
          <w:szCs w:val="24"/>
          <w:lang w:val="ru-RU"/>
        </w:rPr>
        <w:t xml:space="preserve"> КСБ</w:t>
      </w:r>
      <w:r>
        <w:rPr>
          <w:rFonts w:ascii="ISOCPEUR" w:hAnsi="ISOCPEUR"/>
          <w:i/>
          <w:szCs w:val="24"/>
        </w:rPr>
        <w:t xml:space="preserve"> с внешними источниками точного времени осуществляется с помощью специализированного устройства – сервера точного времени Метроном-200. Сервер точного времени имеет внутренние часы, автоматически корректирует собственное</w:t>
      </w:r>
      <w:r>
        <w:rPr>
          <w:rFonts w:ascii="ISOCPEUR" w:hAnsi="ISOCPEUR" w:cs="Arial"/>
          <w:i/>
          <w:szCs w:val="24"/>
        </w:rPr>
        <w:t xml:space="preserve"> время по сигналам спутников GPS и предоставляет оборудование системы по протоколу NTP.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  <w:lang w:val="ru-RU"/>
        </w:rPr>
        <w:t>В</w:t>
      </w:r>
      <w:r>
        <w:rPr>
          <w:rFonts w:hint="default" w:ascii="ISOCPEUR" w:hAnsi="ISOCPEUR" w:cs="Arial"/>
          <w:i/>
          <w:szCs w:val="24"/>
          <w:lang w:val="ru-RU"/>
        </w:rPr>
        <w:t xml:space="preserve"> процессе пусконаладки может потребоваться дополнительной обучение нейросетевой аналитики.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9" w:name="_Toc31977"/>
      <w:r>
        <w:rPr>
          <w:rFonts w:ascii="ISOCPEUR" w:hAnsi="ISOCPEUR" w:cs="Arial"/>
          <w:i/>
          <w:sz w:val="24"/>
          <w:szCs w:val="24"/>
        </w:rPr>
        <w:t>Указания по настройке синхронизации времени.</w:t>
      </w:r>
      <w:bookmarkEnd w:id="9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  <w:szCs w:val="24"/>
        </w:rPr>
        <w:t>Для</w:t>
      </w:r>
      <w:r>
        <w:rPr>
          <w:rFonts w:ascii="ISOCPEUR" w:hAnsi="ISOCPEUR"/>
          <w:i/>
        </w:rPr>
        <w:t xml:space="preserve"> синхронизации времени Метроном-200 должен быть:</w:t>
      </w:r>
    </w:p>
    <w:p>
      <w:pPr>
        <w:pStyle w:val="3"/>
        <w:numPr>
          <w:ilvl w:val="0"/>
          <w:numId w:val="4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смонтирован и подключен </w:t>
      </w:r>
      <w:bookmarkStart w:id="10" w:name="OLE_LINK4"/>
      <w:bookmarkStart w:id="11" w:name="OLE_LINK3"/>
      <w:r>
        <w:rPr>
          <w:rFonts w:ascii="ISOCPEUR" w:hAnsi="ISOCPEUR" w:cs="Arial"/>
          <w:i/>
          <w:szCs w:val="24"/>
        </w:rPr>
        <w:t>согласно руководства по эксплуатации от производителя;</w:t>
      </w:r>
    </w:p>
    <w:bookmarkEnd w:id="10"/>
    <w:bookmarkEnd w:id="11"/>
    <w:p>
      <w:pPr>
        <w:pStyle w:val="3"/>
        <w:numPr>
          <w:ilvl w:val="0"/>
          <w:numId w:val="4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настроен на автоматическую синхронизацию времени со спутниками GPS согласно руководства по эксплуатации от производителя;</w:t>
      </w:r>
    </w:p>
    <w:p>
      <w:pPr>
        <w:pStyle w:val="3"/>
        <w:numPr>
          <w:ilvl w:val="0"/>
          <w:numId w:val="4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подключен к локальной сети системы видеонаблюдения;</w:t>
      </w:r>
    </w:p>
    <w:p>
      <w:pPr>
        <w:pStyle w:val="3"/>
        <w:numPr>
          <w:ilvl w:val="0"/>
          <w:numId w:val="4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настроен как NTP-сервер для локальной сети </w:t>
      </w:r>
      <w:r>
        <w:rPr>
          <w:rFonts w:ascii="ISOCPEUR" w:hAnsi="ISOCPEUR" w:cs="Arial"/>
          <w:i/>
          <w:szCs w:val="24"/>
          <w:lang w:val="ru-RU"/>
        </w:rPr>
        <w:t>КСБ</w:t>
      </w:r>
      <w:r>
        <w:rPr>
          <w:rFonts w:hint="default" w:ascii="ISOCPEUR" w:hAnsi="ISOCPEUR" w:cs="Arial"/>
          <w:i/>
          <w:szCs w:val="24"/>
          <w:lang w:val="ru-RU"/>
        </w:rPr>
        <w:t>;</w:t>
      </w:r>
      <w:r>
        <w:rPr>
          <w:rFonts w:ascii="ISOCPEUR" w:hAnsi="ISOCPEUR" w:cs="Arial"/>
          <w:i/>
          <w:szCs w:val="24"/>
        </w:rPr>
        <w:t>.</w:t>
      </w:r>
    </w:p>
    <w:p>
      <w:pPr>
        <w:pStyle w:val="3"/>
        <w:numPr>
          <w:ilvl w:val="0"/>
          <w:numId w:val="4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После подключения к локальной сети при проведении пусконаладки в параметрах IP-камер, </w:t>
      </w:r>
      <w:r>
        <w:rPr>
          <w:rFonts w:ascii="ISOCPEUR" w:hAnsi="ISOCPEUR" w:cs="Arial"/>
          <w:i/>
          <w:szCs w:val="24"/>
          <w:lang w:val="ru-RU"/>
        </w:rPr>
        <w:t>серверов</w:t>
      </w:r>
      <w:r>
        <w:rPr>
          <w:rFonts w:hint="default" w:ascii="ISOCPEUR" w:hAnsi="ISOCPEUR" w:cs="Arial"/>
          <w:i/>
          <w:szCs w:val="24"/>
          <w:lang w:val="ru-RU"/>
        </w:rPr>
        <w:t>, УРМ, контроллеров СОО и ПОС</w:t>
      </w:r>
      <w:r>
        <w:rPr>
          <w:rFonts w:ascii="ISOCPEUR" w:hAnsi="ISOCPEUR" w:cs="Arial"/>
          <w:i/>
          <w:szCs w:val="24"/>
        </w:rPr>
        <w:t xml:space="preserve"> должно быть настроено получение времени по NTP с IP-адреса сервера точного времени Метроном-200.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12" w:name="_Toc18584"/>
      <w:r>
        <w:rPr>
          <w:rFonts w:ascii="ISOCPEUR" w:hAnsi="ISOCPEUR" w:cs="Arial"/>
          <w:i/>
          <w:sz w:val="24"/>
          <w:szCs w:val="24"/>
          <w:lang w:val="ru-RU"/>
        </w:rPr>
        <w:t>Меры</w:t>
      </w:r>
      <w:r>
        <w:rPr>
          <w:rFonts w:hint="default" w:ascii="ISOCPEUR" w:hAnsi="ISOCPEUR" w:cs="Arial"/>
          <w:i/>
          <w:sz w:val="24"/>
          <w:szCs w:val="24"/>
          <w:lang w:val="ru-RU"/>
        </w:rPr>
        <w:t xml:space="preserve"> информационной безопасности</w:t>
      </w:r>
      <w:bookmarkEnd w:id="12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hint="default" w:ascii="ISOCPEUR" w:hAnsi="ISOCPEUR" w:cs="Arial"/>
          <w:i/>
          <w:szCs w:val="24"/>
          <w:lang w:val="ru-RU"/>
        </w:rPr>
      </w:pPr>
      <w:r>
        <w:rPr>
          <w:rFonts w:ascii="ISOCPEUR" w:hAnsi="ISOCPEUR"/>
          <w:i/>
          <w:szCs w:val="24"/>
          <w:lang w:val="ru-RU"/>
        </w:rPr>
        <w:t>Информационная</w:t>
      </w:r>
      <w:r>
        <w:rPr>
          <w:rFonts w:hint="default" w:ascii="ISOCPEUR" w:hAnsi="ISOCPEUR"/>
          <w:i/>
          <w:szCs w:val="24"/>
          <w:lang w:val="ru-RU"/>
        </w:rPr>
        <w:t xml:space="preserve"> </w:t>
      </w:r>
      <w:r>
        <w:rPr>
          <w:rFonts w:hint="default" w:ascii="ISOCPEUR" w:hAnsi="ISOCPEUR" w:cs="Arial"/>
          <w:i/>
          <w:szCs w:val="24"/>
          <w:lang w:val="ru-RU"/>
        </w:rPr>
        <w:t>безопасность в системе КСБ обеспечивается:</w:t>
      </w:r>
    </w:p>
    <w:p>
      <w:pPr>
        <w:pStyle w:val="3"/>
        <w:numPr>
          <w:ilvl w:val="0"/>
          <w:numId w:val="5"/>
        </w:numPr>
        <w:ind w:left="0" w:firstLine="720"/>
        <w:rPr>
          <w:rFonts w:hint="default" w:ascii="ISOCPEUR" w:hAnsi="ISOCPEUR" w:cs="Arial"/>
          <w:i/>
          <w:szCs w:val="24"/>
          <w:lang w:val="ru-RU"/>
        </w:rPr>
      </w:pPr>
      <w:r>
        <w:rPr>
          <w:rFonts w:hint="default" w:ascii="ISOCPEUR" w:hAnsi="ISOCPEUR" w:cs="Arial"/>
          <w:i/>
          <w:szCs w:val="24"/>
          <w:lang w:val="ru-RU"/>
        </w:rPr>
        <w:t>Применения на станционном оборудовании антивирусного ПО «Kaspersky Endpoint Security для бизнеса»;</w:t>
      </w:r>
    </w:p>
    <w:p>
      <w:pPr>
        <w:pStyle w:val="3"/>
        <w:numPr>
          <w:ilvl w:val="0"/>
          <w:numId w:val="5"/>
        </w:numPr>
        <w:ind w:left="0" w:firstLine="720"/>
        <w:rPr>
          <w:rFonts w:hint="default" w:ascii="ISOCPEUR" w:hAnsi="ISOCPEUR" w:cs="Arial"/>
          <w:i/>
          <w:szCs w:val="24"/>
          <w:lang w:val="ru-RU"/>
        </w:rPr>
      </w:pPr>
      <w:r>
        <w:rPr>
          <w:rFonts w:hint="default" w:ascii="ISOCPEUR" w:hAnsi="ISOCPEUR" w:cs="Arial"/>
          <w:i/>
          <w:szCs w:val="24"/>
          <w:lang w:val="ru-RU"/>
        </w:rPr>
        <w:t xml:space="preserve">Применения управляемых коммутаторов с функцией отключения неиспользуемых </w:t>
      </w:r>
      <w:r>
        <w:rPr>
          <w:rFonts w:hint="default" w:ascii="ISOCPEUR" w:hAnsi="ISOCPEUR" w:cs="Arial"/>
          <w:i/>
          <w:szCs w:val="24"/>
          <w:lang w:val="en-US"/>
        </w:rPr>
        <w:t>EThernet-</w:t>
      </w:r>
      <w:r>
        <w:rPr>
          <w:rFonts w:hint="default" w:ascii="ISOCPEUR" w:hAnsi="ISOCPEUR" w:cs="Arial"/>
          <w:i/>
          <w:szCs w:val="24"/>
          <w:lang w:val="ru-RU"/>
        </w:rPr>
        <w:t>портов;</w:t>
      </w:r>
    </w:p>
    <w:p>
      <w:pPr>
        <w:pStyle w:val="3"/>
        <w:numPr>
          <w:ilvl w:val="0"/>
          <w:numId w:val="5"/>
        </w:numPr>
        <w:ind w:left="0" w:firstLine="720"/>
        <w:rPr>
          <w:rFonts w:hint="default" w:ascii="ISOCPEUR" w:hAnsi="ISOCPEUR" w:cs="Arial"/>
          <w:i/>
          <w:szCs w:val="24"/>
          <w:lang w:val="ru-RU"/>
        </w:rPr>
      </w:pPr>
      <w:r>
        <w:rPr>
          <w:rFonts w:hint="default" w:ascii="ISOCPEUR" w:hAnsi="ISOCPEUR" w:cs="Arial"/>
          <w:i/>
          <w:szCs w:val="24"/>
          <w:lang w:val="ru-RU"/>
        </w:rPr>
        <w:t>Физическим ограничением доступа к коммутационному оборудованию;</w:t>
      </w:r>
    </w:p>
    <w:p>
      <w:pPr>
        <w:pStyle w:val="3"/>
        <w:numPr>
          <w:ilvl w:val="0"/>
          <w:numId w:val="5"/>
        </w:numPr>
        <w:ind w:left="0" w:firstLine="720"/>
        <w:rPr>
          <w:rFonts w:hint="default" w:ascii="ISOCPEUR" w:hAnsi="ISOCPEUR" w:cs="Arial"/>
          <w:i/>
          <w:szCs w:val="24"/>
          <w:lang w:val="ru-RU"/>
        </w:rPr>
      </w:pPr>
      <w:r>
        <w:rPr>
          <w:rFonts w:hint="default" w:ascii="ISOCPEUR" w:hAnsi="ISOCPEUR" w:cs="Arial"/>
          <w:i/>
          <w:szCs w:val="24"/>
          <w:lang w:val="ru-RU"/>
        </w:rPr>
        <w:t xml:space="preserve">Применения центрального коммутатора с поддержкой </w:t>
      </w:r>
      <w:r>
        <w:rPr>
          <w:rFonts w:hint="default" w:ascii="ISOCPEUR" w:hAnsi="ISOCPEUR" w:cs="Arial"/>
          <w:i/>
          <w:szCs w:val="24"/>
          <w:lang w:val="en-US"/>
        </w:rPr>
        <w:t xml:space="preserve">VLAN </w:t>
      </w:r>
      <w:r>
        <w:rPr>
          <w:rFonts w:hint="default" w:ascii="ISOCPEUR" w:hAnsi="ISOCPEUR" w:cs="Arial"/>
          <w:i/>
          <w:szCs w:val="24"/>
          <w:lang w:val="ru-RU"/>
        </w:rPr>
        <w:t xml:space="preserve">и </w:t>
      </w:r>
      <w:r>
        <w:rPr>
          <w:rFonts w:hint="default" w:ascii="ISOCPEUR" w:hAnsi="ISOCPEUR" w:cs="Arial"/>
          <w:i/>
          <w:szCs w:val="24"/>
          <w:lang w:val="en-US"/>
        </w:rPr>
        <w:t xml:space="preserve">VPN </w:t>
      </w:r>
      <w:r>
        <w:rPr>
          <w:rFonts w:hint="default" w:ascii="ISOCPEUR" w:hAnsi="ISOCPEUR" w:cs="Arial"/>
          <w:i/>
          <w:szCs w:val="24"/>
          <w:lang w:val="ru-RU"/>
        </w:rPr>
        <w:t>для подключения к внешним сетям.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ind w:right="566"/>
        <w:rPr>
          <w:rFonts w:ascii="ISOCPEUR" w:hAnsi="ISOCPEUR" w:cs="Arial"/>
          <w:i/>
          <w:sz w:val="24"/>
          <w:szCs w:val="24"/>
        </w:rPr>
      </w:pPr>
      <w:bookmarkStart w:id="13" w:name="_Toc17556"/>
      <w:r>
        <w:rPr>
          <w:rFonts w:ascii="ISOCPEUR" w:hAnsi="ISOCPEUR" w:cs="Arial"/>
          <w:i/>
          <w:sz w:val="24"/>
          <w:szCs w:val="24"/>
        </w:rPr>
        <w:t>Указания по монтажу кабелей и коммутационного оборудования.</w:t>
      </w:r>
      <w:bookmarkEnd w:id="13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Прокладку кабельных линий связи вести с учетом требований:</w:t>
      </w:r>
    </w:p>
    <w:p>
      <w:pPr>
        <w:pStyle w:val="3"/>
        <w:numPr>
          <w:ilvl w:val="0"/>
          <w:numId w:val="6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ГОСТ Р 53246—2008</w:t>
      </w:r>
    </w:p>
    <w:p>
      <w:pPr>
        <w:pStyle w:val="3"/>
        <w:numPr>
          <w:ilvl w:val="0"/>
          <w:numId w:val="6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ПУЭ - Правила устройства электроустановок;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При монтаже кабелей в трассах и телекоммуникационных помещениях следует использовать средства маршрутизации кабельных потоков, их крепления и фиксации. Кабельные хомуты (стяжки, бандаж и т. п.), используемые для формирования кабельных пучков, должны располагаться на пучке так, чтобы хомут мог свободно перемещаться в продольном и поперечном направлениях. Не допускается затягивание хомутов, приводящее к деформации оболочки кабелей. Не допускается крепление телекоммуникационных кабелей с помощью скоб. При прокладке следует учитывать, что длина линии связи до камеры от коммутатора не должна превышать 100м (с учетом длины патч-корда от розетки до камеры). Горизонтальные кабели по механической длине от розетки до распределительной панели не должны превышать 90м.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Радиусы изгиба кабелей горизонтальной и магистральной подсистем не должны быть менее:</w:t>
      </w:r>
    </w:p>
    <w:p>
      <w:pPr>
        <w:pStyle w:val="3"/>
        <w:numPr>
          <w:ilvl w:val="0"/>
          <w:numId w:val="7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8 внешних диаметров кабеля для 4-парных кабелей на основе экранированной витой пары проводников (UTP, FTP, ScTP, SFTP) в состоянии эксплуатации;</w:t>
      </w:r>
    </w:p>
    <w:p>
      <w:pPr>
        <w:pStyle w:val="3"/>
        <w:numPr>
          <w:ilvl w:val="0"/>
          <w:numId w:val="7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10 внешних диаметров кабеля для 4-парных кабелей на основе экранированной витой пары проводников (UTP, FTP, ScTP, SFTP) в процессе монтажа;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Сила натяжения кабелей горизонтальной и магистральной подсистем во время монтажа и в процессе эксплуатации не должна быть более 110 Н для 4-парных кабелей на основе неэкранированной и экранированной витой пары проводников.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При монтаже кабельной системы рекомендуется предусматривать создание запаса кабеля на обоих концах кабельных сегментов с целью обеспечения возможности внесения изменений в будущем.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Рекомендуется оставлять следующий запас кабеля на основе витой пары проводников - 3 м. Предпочтительно запас делать в виде «и»-образных петель с соблюдением минимального радиуса изгиба.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Коммутационное оборудование может быть установлено с помощью адаптеров, контейнеров, на стенах, в стойках, в рамах и других монтажных приспособлениях.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Коннекторы телекоммуникационных розеток должны быть надежно закреплены на рабочих местах. Расположение розеток должно быть выбрано так, чтобы обеспечить подключение активного оборудования с помощью аппаратного шнура длиной не более 1 м.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Расположенные на улице камеры должны быть смонтированы и подключены согласно л. 13 рабочих чертежей.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Общие правила, относящиеся к маркировке отдельных компонентов кабельной системы:</w:t>
      </w:r>
    </w:p>
    <w:p>
      <w:pPr>
        <w:pStyle w:val="3"/>
        <w:numPr>
          <w:ilvl w:val="0"/>
          <w:numId w:val="8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возможность цветовой идентификации;</w:t>
      </w:r>
    </w:p>
    <w:p>
      <w:pPr>
        <w:pStyle w:val="3"/>
        <w:numPr>
          <w:ilvl w:val="0"/>
          <w:numId w:val="8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устойчивость к воздействию таких факторов окружающей среды, как повышенная влажность, разность температур, истирание и пр.;</w:t>
      </w:r>
    </w:p>
    <w:p>
      <w:pPr>
        <w:pStyle w:val="3"/>
        <w:numPr>
          <w:ilvl w:val="0"/>
          <w:numId w:val="8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сочетание простоты установки с надежностью крепления.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 xml:space="preserve">Идентификаторы должны быть нанесены на каждую единицу коммутационного оборудования или его метку и на метки соответствующих позиций коммутационного оборудования. 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Пример маркировки указан в листе 12 рабочих чертежей.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14" w:name="_Toc26742"/>
      <w:r>
        <w:rPr>
          <w:rFonts w:ascii="ISOCPEUR" w:hAnsi="ISOCPEUR" w:cs="Arial"/>
          <w:i/>
          <w:sz w:val="24"/>
          <w:szCs w:val="24"/>
        </w:rPr>
        <w:t>Электропитание и заземление.</w:t>
      </w:r>
      <w:bookmarkEnd w:id="14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 xml:space="preserve">Электропитание </w:t>
      </w:r>
      <w:r>
        <w:rPr>
          <w:rFonts w:ascii="ISOCPEUR" w:hAnsi="ISOCPEUR"/>
          <w:i/>
          <w:szCs w:val="24"/>
        </w:rPr>
        <w:t>оборудования</w:t>
      </w:r>
      <w:r>
        <w:rPr>
          <w:rFonts w:ascii="ISOCPEUR" w:hAnsi="ISOCPEUR"/>
          <w:i/>
        </w:rPr>
        <w:t xml:space="preserve"> осуществляется от сети переменного тока напряжением 230 В, 50 Гц. Станционное оборудование, мониторы и коммутаторы подключаются к источникам бесперебойного питания, которые, в свою очередь, подключаются к общей сети электропитания. Для обеспечения управления станционным оборудованием предусмотрено подключение ИБП к видеосерверам через локальную сеть и к УРММ через интерфейс USB. На серверы и УРММ должно быть установлено идущее в комплекте ПО от ИБП и настроено автоматическое выключение серверов и УРММ по сигналу разрядки батарей ИБП. Для обеспечения безопасной эксплуатации до начала работы необходимо заземлить имеющиеся металлические корпуса, присоединив их к шине заземления, при этом контактное сопротивление заземления должно быть не более 0,5 Ом.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  <w:lang w:val="ru-RU"/>
        </w:rPr>
        <w:t>Электропитание</w:t>
      </w:r>
      <w:r>
        <w:rPr>
          <w:rFonts w:hint="default" w:ascii="ISOCPEUR" w:hAnsi="ISOCPEUR"/>
          <w:i/>
          <w:lang w:val="ru-RU"/>
        </w:rPr>
        <w:t xml:space="preserve"> светильников СОО организовано от устройства АВР с двумя раздельными входными линиями питания;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hint="default" w:ascii="ISOCPEUR" w:hAnsi="ISOCPEUR"/>
          <w:i/>
          <w:lang w:val="ru-RU"/>
        </w:rPr>
        <w:t>Места подсоединения и подача необходимой мощности обеспечивается заказчиком;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  <w:lang w:val="ru-RU"/>
        </w:rPr>
        <w:t>Установленное</w:t>
      </w:r>
      <w:r>
        <w:rPr>
          <w:rFonts w:hint="default" w:ascii="ISOCPEUR" w:hAnsi="ISOCPEUR"/>
          <w:i/>
          <w:lang w:val="ru-RU"/>
        </w:rPr>
        <w:t xml:space="preserve"> на периметре и в серверной оборудование СОО и СОТ защищается УЗИП категории </w:t>
      </w:r>
      <w:r>
        <w:rPr>
          <w:rFonts w:hint="default" w:ascii="ISOCPEUR" w:hAnsi="ISOCPEUR"/>
          <w:i/>
          <w:lang w:val="en-US"/>
        </w:rPr>
        <w:t xml:space="preserve">I+II+III </w:t>
      </w:r>
      <w:r>
        <w:rPr>
          <w:rFonts w:hint="default" w:ascii="ISOCPEUR" w:hAnsi="ISOCPEUR"/>
          <w:i/>
          <w:lang w:val="ru-RU"/>
        </w:rPr>
        <w:t>по линиям связи и электропитания;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  <w:szCs w:val="24"/>
        </w:rPr>
        <w:t>Присоединение</w:t>
      </w:r>
      <w:r>
        <w:rPr>
          <w:rFonts w:ascii="ISOCPEUR" w:hAnsi="ISOCPEUR"/>
          <w:i/>
        </w:rPr>
        <w:t xml:space="preserve"> заземляющих защитных проводников к частям оборудования выполняется болтовым соединением.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15" w:name="_Toc22140"/>
      <w:r>
        <w:rPr>
          <w:rFonts w:ascii="ISOCPEUR" w:hAnsi="ISOCPEUR" w:cs="Arial"/>
          <w:i/>
          <w:sz w:val="24"/>
          <w:szCs w:val="24"/>
        </w:rPr>
        <w:t>Требования безопасности труда.</w:t>
      </w:r>
      <w:bookmarkEnd w:id="15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  <w:szCs w:val="24"/>
        </w:rPr>
      </w:pPr>
      <w:r>
        <w:rPr>
          <w:rFonts w:ascii="ISOCPEUR" w:hAnsi="ISOCPEUR"/>
          <w:i/>
          <w:szCs w:val="24"/>
        </w:rPr>
        <w:t>Монтажные и пусконаладочные работы следует начинать только после выполнения мероприятий по технике безопасности согласно СНиПам.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  <w:szCs w:val="24"/>
        </w:rPr>
      </w:pPr>
      <w:r>
        <w:rPr>
          <w:rFonts w:ascii="ISOCPEUR" w:hAnsi="ISOCPEUR"/>
          <w:i/>
          <w:szCs w:val="24"/>
        </w:rPr>
        <w:t>Работу с техническими средствами видеонаблюдения необходимо производить с соблюдением ПУЭ.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  <w:szCs w:val="24"/>
        </w:rPr>
        <w:t>При работе</w:t>
      </w:r>
      <w:r>
        <w:rPr>
          <w:rFonts w:ascii="ISOCPEUR" w:hAnsi="ISOCPEUR"/>
          <w:i/>
        </w:rPr>
        <w:t xml:space="preserve"> на высоте необходимо использовать только приставные лестницы или стремянки. Применение подручных средств категорически запрещается. Нижние концы лестницы должны иметь упоры в виде металлических шипов или наконечников.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16" w:name="_Toc23511"/>
      <w:r>
        <w:rPr>
          <w:rFonts w:ascii="ISOCPEUR" w:hAnsi="ISOCPEUR" w:cs="Arial"/>
          <w:i/>
          <w:sz w:val="24"/>
          <w:szCs w:val="24"/>
        </w:rPr>
        <w:t>Противопожарные мероприятия.</w:t>
      </w:r>
      <w:bookmarkEnd w:id="16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 xml:space="preserve">Пожарная </w:t>
      </w:r>
      <w:r>
        <w:rPr>
          <w:rFonts w:ascii="ISOCPEUR" w:hAnsi="ISOCPEUR"/>
          <w:i/>
          <w:szCs w:val="24"/>
        </w:rPr>
        <w:t>безопасность</w:t>
      </w:r>
      <w:r>
        <w:rPr>
          <w:rFonts w:ascii="ISOCPEUR" w:hAnsi="ISOCPEUR"/>
          <w:i/>
        </w:rPr>
        <w:t xml:space="preserve"> обеспечивается следующими решениями:</w:t>
      </w:r>
    </w:p>
    <w:p>
      <w:pPr>
        <w:pStyle w:val="3"/>
        <w:numPr>
          <w:ilvl w:val="0"/>
          <w:numId w:val="9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выбором марок кабелей и способом их прокладки в зависимости от категории и класса помещений по пожарной опасности.</w:t>
      </w:r>
    </w:p>
    <w:p>
      <w:pPr>
        <w:pStyle w:val="2"/>
        <w:numPr>
          <w:ilvl w:val="0"/>
          <w:numId w:val="3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17" w:name="_Toc2100"/>
      <w:r>
        <w:rPr>
          <w:rFonts w:ascii="ISOCPEUR" w:hAnsi="ISOCPEUR" w:cs="Arial"/>
          <w:i/>
          <w:sz w:val="24"/>
          <w:szCs w:val="24"/>
        </w:rPr>
        <w:t>Мероприятия по охране окружающей среды.</w:t>
      </w:r>
      <w:bookmarkEnd w:id="17"/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Сооружения связи являются одним из наиболее экологически чистых видов сооружений народного хозяйства. В период эксплуатации они не производят вредных выбросов и промышленных отходов в окружающую среду и, в то же время, дают значительный социально-экономический эффект по оказанию услуг связи населению и народному хозяйству. Прокладываемые кабели не создают шума и вибраций и не оказывают вредного воздействия на окружающую среду. Специальных мер по охране атмосферного воздуха, подземных и поверхностных вод не требуется.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Работы по утилизации отходов необходимо выполнить согласно Федеральному закону № 89-ФЗ принятому 22.05.98 г. "Об отходах производства и потребления".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Отходы, образующиеся при строительстве линейных сооружений, утилизируются в контейнеры и вывозятся в места общего складирования мусора по договоренности со службами коммунального хозяйства.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С учетом изложенного, проектные решения исключают отрицательное воздействие на окружающую среду.</w:t>
      </w:r>
    </w:p>
    <w:p>
      <w:pPr>
        <w:pStyle w:val="3"/>
        <w:numPr>
          <w:ilvl w:val="1"/>
          <w:numId w:val="1"/>
        </w:numPr>
        <w:tabs>
          <w:tab w:val="clear" w:pos="576"/>
        </w:tabs>
        <w:ind w:left="0" w:firstLine="720"/>
        <w:rPr>
          <w:rFonts w:ascii="ISOCPEUR" w:hAnsi="ISOCPEUR"/>
          <w:i/>
        </w:rPr>
      </w:pPr>
      <w:r>
        <w:rPr>
          <w:rFonts w:ascii="ISOCPEUR" w:hAnsi="ISOCPEUR"/>
          <w:i/>
        </w:rPr>
        <w:t>Технические решения, принятые в рабочем проекте,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рабочими чертежами мероприятий и правил техники безопасности.</w:t>
      </w:r>
    </w:p>
    <w:p>
      <w:pPr>
        <w:pStyle w:val="3"/>
        <w:rPr>
          <w:i/>
        </w:rPr>
      </w:pPr>
    </w:p>
    <w:p>
      <w:pPr>
        <w:pStyle w:val="3"/>
        <w:ind w:left="720" w:firstLine="0"/>
        <w:rPr>
          <w:rFonts w:ascii="ISOCPEUR" w:hAnsi="ISOCPEUR"/>
          <w:i/>
        </w:rPr>
      </w:pPr>
      <w:r>
        <w:rPr>
          <w:rFonts w:ascii="ISOCPEUR" w:hAnsi="ISOCPEUR"/>
          <w:i/>
        </w:rPr>
        <w:t>Главный инженер проекта _______________ /______.</w:t>
      </w:r>
    </w:p>
    <w:p>
      <w:pPr>
        <w:spacing w:line="360" w:lineRule="auto"/>
        <w:rPr>
          <w:rFonts w:ascii="ISOCPEUR" w:hAnsi="ISOCPEUR"/>
          <w:i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ISOCPEUR">
    <w:panose1 w:val="020B0604020202020204"/>
    <w:charset w:val="CC"/>
    <w:family w:val="swiss"/>
    <w:pitch w:val="default"/>
    <w:sig w:usb0="00000287" w:usb1="00000000" w:usb2="00000000" w:usb3="00000000" w:csb0="4000009F" w:csb1="DFD7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234315</wp:posOffset>
              </wp:positionV>
              <wp:extent cx="6591300" cy="10187305"/>
              <wp:effectExtent l="19050" t="19050" r="19050" b="23495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591300" cy="1018730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56.4pt;margin-top:18.45pt;height:802.15pt;width:519pt;mso-position-horizontal-relative:page;mso-position-vertical-relative:page;z-index:251659264;mso-width-relative:page;mso-height-relative:page;" filled="f" stroked="t" coordsize="21600,21600" o:gfxdata="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G9IQUPaAAAADAEAAA8A&#10;AAAAAAAAAQAgAAAAIgAAAGRycy9kb3ducmV2LnhtbFBLAQIUABQAAAAIAIdO4kC33V0zTgIAAHAE&#10;AAAOAAAAAAAAAAEAIAAAACkBAABkcnMvZTJvRG9jLnhtbFBLBQYAAAAABgAGAFkBAADpBQAAAAA=&#10;">
              <v:fill on="f" focussize="0,0"/>
              <v:stroke weight="2.25pt" color="#000000" miterlimit="8" joinstyle="miter"/>
              <v:imagedata o:title=""/>
              <o:lock v:ext="edit" aspectratio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BA4B8C"/>
    <w:multiLevelType w:val="multilevel"/>
    <w:tmpl w:val="C2BA4B8C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506F97"/>
    <w:multiLevelType w:val="multilevel"/>
    <w:tmpl w:val="3D506F9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  <w:b w:val="0"/>
        <w:i/>
        <w:sz w:val="24"/>
        <w:szCs w:val="24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ISOCPEUR" w:hAnsi="ISOCPEUR" w:cs="Times New Roman"/>
        <w:i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ISOCPEUR" w:hAnsi="ISOCPEUR" w:cs="Times New Roman"/>
        <w:i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2">
    <w:nsid w:val="419D6C70"/>
    <w:multiLevelType w:val="multilevel"/>
    <w:tmpl w:val="419D6C70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B757EB"/>
    <w:multiLevelType w:val="multilevel"/>
    <w:tmpl w:val="57B757EB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7C16A9"/>
    <w:multiLevelType w:val="multilevel"/>
    <w:tmpl w:val="5E7C16A9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9B01BB"/>
    <w:multiLevelType w:val="multilevel"/>
    <w:tmpl w:val="6A9B01BB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80647C5"/>
    <w:multiLevelType w:val="multilevel"/>
    <w:tmpl w:val="780647C5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3F54B9"/>
    <w:multiLevelType w:val="multilevel"/>
    <w:tmpl w:val="783F54B9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1"/>
    <w:lvlOverride w:ilvl="0">
      <w:startOverride w:val="3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E7"/>
    <w:rsid w:val="00013C95"/>
    <w:rsid w:val="00022F09"/>
    <w:rsid w:val="000236FC"/>
    <w:rsid w:val="0003554E"/>
    <w:rsid w:val="00047656"/>
    <w:rsid w:val="00052B0C"/>
    <w:rsid w:val="00057E7C"/>
    <w:rsid w:val="000670A9"/>
    <w:rsid w:val="0007512E"/>
    <w:rsid w:val="0008440D"/>
    <w:rsid w:val="000944FE"/>
    <w:rsid w:val="000974C5"/>
    <w:rsid w:val="000B4264"/>
    <w:rsid w:val="000C321C"/>
    <w:rsid w:val="000E22A6"/>
    <w:rsid w:val="000E3DD8"/>
    <w:rsid w:val="00106408"/>
    <w:rsid w:val="00106FD3"/>
    <w:rsid w:val="0012544B"/>
    <w:rsid w:val="00133045"/>
    <w:rsid w:val="00165CCD"/>
    <w:rsid w:val="00171B83"/>
    <w:rsid w:val="001734D5"/>
    <w:rsid w:val="0018600B"/>
    <w:rsid w:val="001932E2"/>
    <w:rsid w:val="001C5E3C"/>
    <w:rsid w:val="001C6261"/>
    <w:rsid w:val="001E540C"/>
    <w:rsid w:val="001E6D47"/>
    <w:rsid w:val="001E7C07"/>
    <w:rsid w:val="001F13C6"/>
    <w:rsid w:val="00227E1E"/>
    <w:rsid w:val="00235EB9"/>
    <w:rsid w:val="00243AE8"/>
    <w:rsid w:val="0024633C"/>
    <w:rsid w:val="00250A9B"/>
    <w:rsid w:val="00262DC5"/>
    <w:rsid w:val="00266BE1"/>
    <w:rsid w:val="002A7D91"/>
    <w:rsid w:val="002E7B68"/>
    <w:rsid w:val="002E7C3A"/>
    <w:rsid w:val="002F4A7F"/>
    <w:rsid w:val="002F5D99"/>
    <w:rsid w:val="00300885"/>
    <w:rsid w:val="00312F3F"/>
    <w:rsid w:val="00315337"/>
    <w:rsid w:val="00315DC7"/>
    <w:rsid w:val="003303C8"/>
    <w:rsid w:val="003359CD"/>
    <w:rsid w:val="00365A40"/>
    <w:rsid w:val="00375E7B"/>
    <w:rsid w:val="00390186"/>
    <w:rsid w:val="0039647E"/>
    <w:rsid w:val="003B2BAA"/>
    <w:rsid w:val="003B4507"/>
    <w:rsid w:val="003C186C"/>
    <w:rsid w:val="003F6A6D"/>
    <w:rsid w:val="0040067B"/>
    <w:rsid w:val="00403937"/>
    <w:rsid w:val="00422994"/>
    <w:rsid w:val="00423C8D"/>
    <w:rsid w:val="004347F2"/>
    <w:rsid w:val="0044362F"/>
    <w:rsid w:val="00445C22"/>
    <w:rsid w:val="004627B3"/>
    <w:rsid w:val="0047033C"/>
    <w:rsid w:val="00492661"/>
    <w:rsid w:val="004A3391"/>
    <w:rsid w:val="004A660E"/>
    <w:rsid w:val="004D7E86"/>
    <w:rsid w:val="004E068D"/>
    <w:rsid w:val="004F10AC"/>
    <w:rsid w:val="00500C06"/>
    <w:rsid w:val="00501B58"/>
    <w:rsid w:val="005109D8"/>
    <w:rsid w:val="00510E11"/>
    <w:rsid w:val="00513E10"/>
    <w:rsid w:val="0051418C"/>
    <w:rsid w:val="00517702"/>
    <w:rsid w:val="00542423"/>
    <w:rsid w:val="0058569F"/>
    <w:rsid w:val="0058635A"/>
    <w:rsid w:val="00590315"/>
    <w:rsid w:val="00592E0B"/>
    <w:rsid w:val="005A7F70"/>
    <w:rsid w:val="005B24C5"/>
    <w:rsid w:val="005C56BB"/>
    <w:rsid w:val="005D3CE7"/>
    <w:rsid w:val="005E2086"/>
    <w:rsid w:val="005E2835"/>
    <w:rsid w:val="005F54D8"/>
    <w:rsid w:val="00610D61"/>
    <w:rsid w:val="00615409"/>
    <w:rsid w:val="00630707"/>
    <w:rsid w:val="00630859"/>
    <w:rsid w:val="00636070"/>
    <w:rsid w:val="00637E90"/>
    <w:rsid w:val="006420B0"/>
    <w:rsid w:val="00642409"/>
    <w:rsid w:val="00647031"/>
    <w:rsid w:val="00651744"/>
    <w:rsid w:val="00666F3C"/>
    <w:rsid w:val="00670163"/>
    <w:rsid w:val="00693E05"/>
    <w:rsid w:val="00696BD8"/>
    <w:rsid w:val="006A70ED"/>
    <w:rsid w:val="006A7C0A"/>
    <w:rsid w:val="006B0257"/>
    <w:rsid w:val="006B1918"/>
    <w:rsid w:val="006F1B0A"/>
    <w:rsid w:val="006F4994"/>
    <w:rsid w:val="00725335"/>
    <w:rsid w:val="00732B2D"/>
    <w:rsid w:val="00737430"/>
    <w:rsid w:val="00753A53"/>
    <w:rsid w:val="00757AD0"/>
    <w:rsid w:val="0078070C"/>
    <w:rsid w:val="00786D6C"/>
    <w:rsid w:val="00787F54"/>
    <w:rsid w:val="007A05E7"/>
    <w:rsid w:val="007A0C8B"/>
    <w:rsid w:val="007B4CD0"/>
    <w:rsid w:val="007C08B7"/>
    <w:rsid w:val="0081702A"/>
    <w:rsid w:val="00820574"/>
    <w:rsid w:val="008211C2"/>
    <w:rsid w:val="008231B6"/>
    <w:rsid w:val="008252A2"/>
    <w:rsid w:val="00845AAE"/>
    <w:rsid w:val="00850A27"/>
    <w:rsid w:val="008631E9"/>
    <w:rsid w:val="0086418C"/>
    <w:rsid w:val="00874938"/>
    <w:rsid w:val="008956B4"/>
    <w:rsid w:val="008A58C6"/>
    <w:rsid w:val="008C2539"/>
    <w:rsid w:val="008C3ACE"/>
    <w:rsid w:val="008D5E5B"/>
    <w:rsid w:val="008E44CA"/>
    <w:rsid w:val="008E6506"/>
    <w:rsid w:val="008E6AD7"/>
    <w:rsid w:val="008F5427"/>
    <w:rsid w:val="008F5CD6"/>
    <w:rsid w:val="00903B5A"/>
    <w:rsid w:val="00904681"/>
    <w:rsid w:val="00910B8E"/>
    <w:rsid w:val="00910CC4"/>
    <w:rsid w:val="00922152"/>
    <w:rsid w:val="00924990"/>
    <w:rsid w:val="009330E2"/>
    <w:rsid w:val="00937A52"/>
    <w:rsid w:val="00937F1C"/>
    <w:rsid w:val="00941A3E"/>
    <w:rsid w:val="00953221"/>
    <w:rsid w:val="00973372"/>
    <w:rsid w:val="00974204"/>
    <w:rsid w:val="0098233B"/>
    <w:rsid w:val="00992785"/>
    <w:rsid w:val="009A135F"/>
    <w:rsid w:val="009B02A5"/>
    <w:rsid w:val="009B23F4"/>
    <w:rsid w:val="009C14B8"/>
    <w:rsid w:val="009C5119"/>
    <w:rsid w:val="009E0EDC"/>
    <w:rsid w:val="009F4712"/>
    <w:rsid w:val="009F55E7"/>
    <w:rsid w:val="00A0250A"/>
    <w:rsid w:val="00A12256"/>
    <w:rsid w:val="00A16F39"/>
    <w:rsid w:val="00A22B6F"/>
    <w:rsid w:val="00A25128"/>
    <w:rsid w:val="00A375C1"/>
    <w:rsid w:val="00A43D38"/>
    <w:rsid w:val="00A448E7"/>
    <w:rsid w:val="00A47D53"/>
    <w:rsid w:val="00A549A9"/>
    <w:rsid w:val="00A54D25"/>
    <w:rsid w:val="00A61F48"/>
    <w:rsid w:val="00A71DFF"/>
    <w:rsid w:val="00AA3DF8"/>
    <w:rsid w:val="00AC0F3D"/>
    <w:rsid w:val="00AC5B2A"/>
    <w:rsid w:val="00AD754D"/>
    <w:rsid w:val="00AE3EF9"/>
    <w:rsid w:val="00AF030B"/>
    <w:rsid w:val="00AF0433"/>
    <w:rsid w:val="00B07CD7"/>
    <w:rsid w:val="00B17D9B"/>
    <w:rsid w:val="00B22AD0"/>
    <w:rsid w:val="00B33085"/>
    <w:rsid w:val="00B347AB"/>
    <w:rsid w:val="00B43A6A"/>
    <w:rsid w:val="00B536BB"/>
    <w:rsid w:val="00B67723"/>
    <w:rsid w:val="00B70EC7"/>
    <w:rsid w:val="00B71ACC"/>
    <w:rsid w:val="00B92403"/>
    <w:rsid w:val="00B954C9"/>
    <w:rsid w:val="00B96DB8"/>
    <w:rsid w:val="00BB7EEF"/>
    <w:rsid w:val="00C042E0"/>
    <w:rsid w:val="00C05A52"/>
    <w:rsid w:val="00C060B5"/>
    <w:rsid w:val="00C21D30"/>
    <w:rsid w:val="00C25761"/>
    <w:rsid w:val="00C25FCB"/>
    <w:rsid w:val="00C4615C"/>
    <w:rsid w:val="00C5505A"/>
    <w:rsid w:val="00C5715E"/>
    <w:rsid w:val="00C653B4"/>
    <w:rsid w:val="00C92C51"/>
    <w:rsid w:val="00CA1FF7"/>
    <w:rsid w:val="00CA659F"/>
    <w:rsid w:val="00CB37B9"/>
    <w:rsid w:val="00CB4BA0"/>
    <w:rsid w:val="00CD5070"/>
    <w:rsid w:val="00D009F8"/>
    <w:rsid w:val="00D031EF"/>
    <w:rsid w:val="00D047E4"/>
    <w:rsid w:val="00D10477"/>
    <w:rsid w:val="00D1723E"/>
    <w:rsid w:val="00D3274D"/>
    <w:rsid w:val="00D43170"/>
    <w:rsid w:val="00D731D2"/>
    <w:rsid w:val="00D84303"/>
    <w:rsid w:val="00DE348B"/>
    <w:rsid w:val="00DE41E9"/>
    <w:rsid w:val="00DE7866"/>
    <w:rsid w:val="00DF597A"/>
    <w:rsid w:val="00E118DA"/>
    <w:rsid w:val="00E152FC"/>
    <w:rsid w:val="00E16496"/>
    <w:rsid w:val="00E275A4"/>
    <w:rsid w:val="00E27ADE"/>
    <w:rsid w:val="00E44A6D"/>
    <w:rsid w:val="00E765AA"/>
    <w:rsid w:val="00E82890"/>
    <w:rsid w:val="00E96792"/>
    <w:rsid w:val="00EA35B1"/>
    <w:rsid w:val="00EA5C72"/>
    <w:rsid w:val="00EE176A"/>
    <w:rsid w:val="00EE347F"/>
    <w:rsid w:val="00EE4C3B"/>
    <w:rsid w:val="00F27BF5"/>
    <w:rsid w:val="00F304C1"/>
    <w:rsid w:val="00F6549E"/>
    <w:rsid w:val="00F72289"/>
    <w:rsid w:val="00F72DE7"/>
    <w:rsid w:val="00F87066"/>
    <w:rsid w:val="00F90F39"/>
    <w:rsid w:val="00F92F91"/>
    <w:rsid w:val="00FA682E"/>
    <w:rsid w:val="00FC3BF9"/>
    <w:rsid w:val="00FD2070"/>
    <w:rsid w:val="01C84D95"/>
    <w:rsid w:val="033C1E36"/>
    <w:rsid w:val="07B77F70"/>
    <w:rsid w:val="0FA30877"/>
    <w:rsid w:val="13536A7D"/>
    <w:rsid w:val="145B7910"/>
    <w:rsid w:val="17E60CE9"/>
    <w:rsid w:val="26F32C73"/>
    <w:rsid w:val="28476B8C"/>
    <w:rsid w:val="2C787B42"/>
    <w:rsid w:val="31A3705A"/>
    <w:rsid w:val="3792172A"/>
    <w:rsid w:val="44532E74"/>
    <w:rsid w:val="4C5B5E7C"/>
    <w:rsid w:val="4F200DB8"/>
    <w:rsid w:val="509A5244"/>
    <w:rsid w:val="52B332AE"/>
    <w:rsid w:val="557C1D1E"/>
    <w:rsid w:val="5FD453D3"/>
    <w:rsid w:val="6B2B0958"/>
    <w:rsid w:val="6B3653C3"/>
    <w:rsid w:val="769D0B41"/>
    <w:rsid w:val="7ED106FE"/>
    <w:rsid w:val="7F4F4C45"/>
    <w:rsid w:val="7F91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nhideWhenUsed="0" w:uiPriority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lang w:val="ru-RU" w:eastAsia="ru-RU" w:bidi="ar-SA"/>
    </w:rPr>
  </w:style>
  <w:style w:type="paragraph" w:styleId="2">
    <w:name w:val="heading 1"/>
    <w:basedOn w:val="1"/>
    <w:next w:val="3"/>
    <w:link w:val="26"/>
    <w:qFormat/>
    <w:uiPriority w:val="0"/>
    <w:pPr>
      <w:keepNext/>
      <w:numPr>
        <w:ilvl w:val="0"/>
        <w:numId w:val="1"/>
      </w:numPr>
      <w:tabs>
        <w:tab w:val="left" w:pos="1980"/>
      </w:tabs>
      <w:spacing w:before="720" w:after="360"/>
      <w:ind w:right="1641"/>
      <w:jc w:val="center"/>
      <w:outlineLvl w:val="0"/>
    </w:pPr>
    <w:rPr>
      <w:caps/>
      <w:sz w:val="28"/>
    </w:rPr>
  </w:style>
  <w:style w:type="paragraph" w:styleId="4">
    <w:name w:val="heading 2"/>
    <w:basedOn w:val="1"/>
    <w:next w:val="3"/>
    <w:link w:val="27"/>
    <w:qFormat/>
    <w:uiPriority w:val="0"/>
    <w:pPr>
      <w:keepNext/>
      <w:numPr>
        <w:ilvl w:val="1"/>
        <w:numId w:val="1"/>
      </w:numPr>
      <w:tabs>
        <w:tab w:val="left" w:pos="432"/>
        <w:tab w:val="left" w:pos="1260"/>
      </w:tabs>
      <w:spacing w:after="240"/>
      <w:outlineLvl w:val="1"/>
    </w:pPr>
    <w:rPr>
      <w:i/>
      <w:iCs/>
    </w:rPr>
  </w:style>
  <w:style w:type="paragraph" w:styleId="5">
    <w:name w:val="heading 3"/>
    <w:basedOn w:val="1"/>
    <w:next w:val="3"/>
    <w:link w:val="28"/>
    <w:qFormat/>
    <w:uiPriority w:val="0"/>
    <w:pPr>
      <w:keepNext/>
      <w:numPr>
        <w:ilvl w:val="2"/>
        <w:numId w:val="1"/>
      </w:numPr>
      <w:tabs>
        <w:tab w:val="left" w:pos="432"/>
      </w:tabs>
      <w:spacing w:after="120"/>
      <w:outlineLvl w:val="2"/>
    </w:pPr>
  </w:style>
  <w:style w:type="paragraph" w:styleId="6">
    <w:name w:val="heading 4"/>
    <w:basedOn w:val="1"/>
    <w:next w:val="1"/>
    <w:link w:val="29"/>
    <w:qFormat/>
    <w:uiPriority w:val="0"/>
    <w:pPr>
      <w:keepNext/>
      <w:numPr>
        <w:ilvl w:val="3"/>
        <w:numId w:val="1"/>
      </w:numPr>
      <w:spacing w:before="120"/>
      <w:jc w:val="center"/>
      <w:outlineLvl w:val="3"/>
    </w:pPr>
    <w:rPr>
      <w:rFonts w:ascii="Arial" w:hAnsi="Arial" w:cs="Arial"/>
      <w:i/>
      <w:iCs/>
      <w:sz w:val="28"/>
      <w:szCs w:val="28"/>
    </w:rPr>
  </w:style>
  <w:style w:type="paragraph" w:styleId="7">
    <w:name w:val="heading 5"/>
    <w:basedOn w:val="1"/>
    <w:next w:val="1"/>
    <w:link w:val="30"/>
    <w:qFormat/>
    <w:uiPriority w:val="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 w:cs="Arial"/>
      <w:i/>
      <w:iCs/>
      <w:sz w:val="20"/>
      <w:szCs w:val="28"/>
    </w:rPr>
  </w:style>
  <w:style w:type="paragraph" w:styleId="8">
    <w:name w:val="heading 6"/>
    <w:basedOn w:val="1"/>
    <w:next w:val="1"/>
    <w:link w:val="3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7"/>
    <w:basedOn w:val="1"/>
    <w:next w:val="1"/>
    <w:link w:val="32"/>
    <w:qFormat/>
    <w:uiPriority w:val="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10">
    <w:name w:val="heading 8"/>
    <w:basedOn w:val="1"/>
    <w:next w:val="1"/>
    <w:link w:val="33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11">
    <w:name w:val="heading 9"/>
    <w:basedOn w:val="1"/>
    <w:next w:val="1"/>
    <w:link w:val="34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4"/>
    <w:semiHidden/>
    <w:uiPriority w:val="0"/>
    <w:pPr>
      <w:spacing w:line="360" w:lineRule="auto"/>
      <w:ind w:firstLine="720"/>
    </w:pPr>
  </w:style>
  <w:style w:type="character" w:styleId="14">
    <w:name w:val="annotation reference"/>
    <w:basedOn w:val="12"/>
    <w:semiHidden/>
    <w:unhideWhenUsed/>
    <w:uiPriority w:val="99"/>
    <w:rPr>
      <w:sz w:val="16"/>
      <w:szCs w:val="16"/>
    </w:r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uiPriority w:val="99"/>
    <w:rPr>
      <w:rFonts w:cs="Times New Roman"/>
      <w:color w:val="0000FF"/>
      <w:u w:val="single"/>
    </w:rPr>
  </w:style>
  <w:style w:type="paragraph" w:styleId="17">
    <w:name w:val="Balloon Text"/>
    <w:basedOn w:val="1"/>
    <w:link w:val="4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8">
    <w:name w:val="annotation text"/>
    <w:basedOn w:val="1"/>
    <w:link w:val="39"/>
    <w:semiHidden/>
    <w:unhideWhenUsed/>
    <w:qFormat/>
    <w:uiPriority w:val="99"/>
    <w:rPr>
      <w:sz w:val="20"/>
    </w:rPr>
  </w:style>
  <w:style w:type="paragraph" w:styleId="19">
    <w:name w:val="annotation subject"/>
    <w:basedOn w:val="18"/>
    <w:next w:val="18"/>
    <w:link w:val="40"/>
    <w:semiHidden/>
    <w:unhideWhenUsed/>
    <w:uiPriority w:val="99"/>
    <w:rPr>
      <w:b/>
      <w:bCs/>
    </w:rPr>
  </w:style>
  <w:style w:type="paragraph" w:styleId="20">
    <w:name w:val="header"/>
    <w:basedOn w:val="1"/>
    <w:link w:val="25"/>
    <w:semiHidden/>
    <w:uiPriority w:val="0"/>
    <w:pPr>
      <w:tabs>
        <w:tab w:val="center" w:pos="4677"/>
        <w:tab w:val="right" w:pos="9355"/>
      </w:tabs>
    </w:pPr>
  </w:style>
  <w:style w:type="paragraph" w:styleId="21">
    <w:name w:val="Body Text"/>
    <w:basedOn w:val="1"/>
    <w:link w:val="46"/>
    <w:semiHidden/>
    <w:unhideWhenUsed/>
    <w:qFormat/>
    <w:uiPriority w:val="99"/>
    <w:pPr>
      <w:spacing w:after="120"/>
    </w:pPr>
  </w:style>
  <w:style w:type="paragraph" w:styleId="22">
    <w:name w:val="toc 1"/>
    <w:basedOn w:val="1"/>
    <w:next w:val="1"/>
    <w:qFormat/>
    <w:uiPriority w:val="39"/>
    <w:pPr>
      <w:tabs>
        <w:tab w:val="left" w:pos="440"/>
        <w:tab w:val="right" w:leader="dot" w:pos="9356"/>
      </w:tabs>
    </w:pPr>
  </w:style>
  <w:style w:type="table" w:styleId="23">
    <w:name w:val="Table Grid"/>
    <w:basedOn w:val="1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Основной текст с отступом Знак"/>
    <w:basedOn w:val="12"/>
    <w:link w:val="3"/>
    <w:semiHidden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5">
    <w:name w:val="Верхний колонтитул Знак"/>
    <w:basedOn w:val="12"/>
    <w:link w:val="20"/>
    <w:semiHidden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6">
    <w:name w:val="Заголовок 1 Знак"/>
    <w:basedOn w:val="12"/>
    <w:link w:val="2"/>
    <w:qFormat/>
    <w:uiPriority w:val="0"/>
    <w:rPr>
      <w:rFonts w:ascii="Times New Roman" w:hAnsi="Times New Roman" w:eastAsia="Times New Roman" w:cs="Times New Roman"/>
      <w:caps/>
      <w:sz w:val="28"/>
      <w:szCs w:val="20"/>
      <w:lang w:eastAsia="ru-RU"/>
    </w:rPr>
  </w:style>
  <w:style w:type="character" w:customStyle="1" w:styleId="27">
    <w:name w:val="Заголовок 2 Знак"/>
    <w:basedOn w:val="12"/>
    <w:link w:val="4"/>
    <w:qFormat/>
    <w:uiPriority w:val="0"/>
    <w:rPr>
      <w:rFonts w:ascii="Times New Roman" w:hAnsi="Times New Roman" w:eastAsia="Times New Roman" w:cs="Times New Roman"/>
      <w:i/>
      <w:iCs/>
      <w:sz w:val="24"/>
      <w:szCs w:val="20"/>
      <w:lang w:eastAsia="ru-RU"/>
    </w:rPr>
  </w:style>
  <w:style w:type="character" w:customStyle="1" w:styleId="28">
    <w:name w:val="Заголовок 3 Знак"/>
    <w:basedOn w:val="1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9">
    <w:name w:val="Заголовок 4 Знак"/>
    <w:basedOn w:val="12"/>
    <w:link w:val="6"/>
    <w:qFormat/>
    <w:uiPriority w:val="0"/>
    <w:rPr>
      <w:rFonts w:ascii="Arial" w:hAnsi="Arial" w:eastAsia="Times New Roman" w:cs="Arial"/>
      <w:i/>
      <w:iCs/>
      <w:sz w:val="28"/>
      <w:szCs w:val="28"/>
      <w:lang w:eastAsia="ru-RU"/>
    </w:rPr>
  </w:style>
  <w:style w:type="character" w:customStyle="1" w:styleId="30">
    <w:name w:val="Заголовок 5 Знак"/>
    <w:basedOn w:val="12"/>
    <w:link w:val="7"/>
    <w:qFormat/>
    <w:uiPriority w:val="0"/>
    <w:rPr>
      <w:rFonts w:ascii="Arial" w:hAnsi="Arial" w:eastAsia="Times New Roman" w:cs="Arial"/>
      <w:i/>
      <w:iCs/>
      <w:sz w:val="20"/>
      <w:szCs w:val="28"/>
      <w:lang w:eastAsia="ru-RU"/>
    </w:rPr>
  </w:style>
  <w:style w:type="character" w:customStyle="1" w:styleId="31">
    <w:name w:val="Заголовок 6 Знак"/>
    <w:basedOn w:val="12"/>
    <w:link w:val="8"/>
    <w:uiPriority w:val="0"/>
    <w:rPr>
      <w:rFonts w:ascii="Times New Roman" w:hAnsi="Times New Roman" w:eastAsia="Times New Roman" w:cs="Times New Roman"/>
      <w:b/>
      <w:bCs/>
      <w:lang w:eastAsia="ru-RU"/>
    </w:rPr>
  </w:style>
  <w:style w:type="character" w:customStyle="1" w:styleId="32">
    <w:name w:val="Заголовок 7 Знак"/>
    <w:basedOn w:val="12"/>
    <w:link w:val="9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3">
    <w:name w:val="Заголовок 8 Знак"/>
    <w:basedOn w:val="12"/>
    <w:link w:val="10"/>
    <w:qFormat/>
    <w:uiPriority w:val="0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customStyle="1" w:styleId="34">
    <w:name w:val="Заголовок 9 Знак"/>
    <w:basedOn w:val="12"/>
    <w:link w:val="11"/>
    <w:qFormat/>
    <w:uiPriority w:val="0"/>
    <w:rPr>
      <w:rFonts w:ascii="Arial" w:hAnsi="Arial" w:eastAsia="Times New Roman" w:cs="Arial"/>
      <w:lang w:eastAsia="ru-RU"/>
    </w:rPr>
  </w:style>
  <w:style w:type="character" w:customStyle="1" w:styleId="35">
    <w:name w:val="server_description1"/>
    <w:qFormat/>
    <w:uiPriority w:val="0"/>
  </w:style>
  <w:style w:type="paragraph" w:customStyle="1" w:styleId="36">
    <w:name w:val="Стиль1"/>
    <w:basedOn w:val="3"/>
    <w:link w:val="37"/>
    <w:qFormat/>
    <w:uiPriority w:val="0"/>
    <w:rPr>
      <w:rFonts w:ascii="ISOCPEUR" w:hAnsi="ISOCPEUR" w:cs="Arial"/>
      <w:i/>
      <w:szCs w:val="24"/>
    </w:rPr>
  </w:style>
  <w:style w:type="character" w:customStyle="1" w:styleId="37">
    <w:name w:val="Стиль1 Знак"/>
    <w:link w:val="36"/>
    <w:qFormat/>
    <w:uiPriority w:val="0"/>
    <w:rPr>
      <w:rFonts w:ascii="ISOCPEUR" w:hAnsi="ISOCPEUR" w:eastAsia="Times New Roman" w:cs="Arial"/>
      <w:i/>
      <w:sz w:val="24"/>
      <w:szCs w:val="24"/>
      <w:lang w:eastAsia="ru-RU"/>
    </w:rPr>
  </w:style>
  <w:style w:type="character" w:customStyle="1" w:styleId="38">
    <w:name w:val="server_name"/>
    <w:qFormat/>
    <w:uiPriority w:val="0"/>
  </w:style>
  <w:style w:type="character" w:customStyle="1" w:styleId="39">
    <w:name w:val="Текст примечания Знак"/>
    <w:basedOn w:val="12"/>
    <w:link w:val="18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40">
    <w:name w:val="Тема примечания Знак"/>
    <w:basedOn w:val="39"/>
    <w:link w:val="1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customStyle="1" w:styleId="41">
    <w:name w:val="Текст выноски Знак"/>
    <w:basedOn w:val="12"/>
    <w:link w:val="1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42">
    <w:name w:val="Table Paragraph"/>
    <w:basedOn w:val="1"/>
    <w:qFormat/>
    <w:uiPriority w:val="1"/>
    <w:pPr>
      <w:keepNext/>
      <w:widowControl w:val="0"/>
      <w:spacing w:before="120" w:after="120"/>
      <w:ind w:left="-19" w:firstLine="94"/>
      <w:jc w:val="center"/>
    </w:pPr>
    <w:rPr>
      <w:rFonts w:ascii="Arial" w:hAnsi="Arial" w:eastAsia="Arial" w:cs="Arial"/>
      <w:b/>
      <w:bCs/>
      <w:color w:val="000000"/>
      <w:sz w:val="20"/>
      <w:lang w:val="en-US" w:eastAsia="en-US"/>
    </w:rPr>
  </w:style>
  <w:style w:type="table" w:customStyle="1" w:styleId="43">
    <w:name w:val="Table Normal1"/>
    <w:unhideWhenUsed/>
    <w:qFormat/>
    <w:uiPriority w:val="2"/>
    <w:pPr>
      <w:spacing w:after="0" w:line="240" w:lineRule="auto"/>
    </w:pPr>
    <w:rPr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4">
    <w:name w:val="Основной (без отступа)"/>
    <w:basedOn w:val="21"/>
    <w:next w:val="21"/>
    <w:qFormat/>
    <w:uiPriority w:val="1"/>
    <w:pPr>
      <w:widowControl w:val="0"/>
      <w:spacing w:before="120"/>
    </w:pPr>
    <w:rPr>
      <w:rFonts w:ascii="Arial" w:hAnsi="Arial" w:eastAsia="Arial" w:cs="SimSun"/>
      <w:color w:val="000000"/>
      <w:sz w:val="20"/>
    </w:rPr>
  </w:style>
  <w:style w:type="paragraph" w:customStyle="1" w:styleId="45">
    <w:name w:val="Основной центр б/о"/>
    <w:basedOn w:val="44"/>
    <w:qFormat/>
    <w:uiPriority w:val="1"/>
    <w:pPr>
      <w:jc w:val="center"/>
    </w:pPr>
  </w:style>
  <w:style w:type="character" w:customStyle="1" w:styleId="46">
    <w:name w:val="Основной текст Знак"/>
    <w:basedOn w:val="12"/>
    <w:link w:val="21"/>
    <w:semiHidden/>
    <w:qFormat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47">
    <w:name w:val="List Paragraph"/>
    <w:basedOn w:val="1"/>
    <w:qFormat/>
    <w:uiPriority w:val="34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4D0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02D5C-A5C0-4DED-ABD4-3CFC0C3E97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3233</Words>
  <Characters>18434</Characters>
  <Lines>153</Lines>
  <Paragraphs>43</Paragraphs>
  <TotalTime>3</TotalTime>
  <ScaleCrop>false</ScaleCrop>
  <LinksUpToDate>false</LinksUpToDate>
  <CharactersWithSpaces>21624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2020-06-16T09:58:00Z</dcterms:created>
  <dc:creator>VIDEOMAX</dc:creator>
  <cp:lastModifiedBy>Malcev</cp:lastModifiedBy>
  <cp:lastPrinted>2019-06-16T09:01:00Z</cp:lastPrinted>
  <dcterms:modified xsi:type="dcterms:W3CDTF">2022-05-26T04:45:57Z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17B843AE25094F32B1C1C99F89F523B3</vt:lpwstr>
  </property>
</Properties>
</file>